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200"/>
        <w:jc w:val="center"/>
      </w:pPr>
      <w:r>
        <w:rPr>
          <w:rFonts w:ascii="Microsoft YaHei" w:hAnsi="Microsoft YaHei" w:eastAsia="Microsoft YaHei"/>
          <w:b/>
          <w:i w:val="0"/>
          <w:color w:val="1F6FEB"/>
          <w:sz w:val="24"/>
        </w:rPr>
        <w:t>算数科技 MIC · 园区运营数字化</w:t>
      </w:r>
    </w:p>
    <w:p>
      <w:pPr>
        <w:spacing w:after="160"/>
        <w:jc w:val="center"/>
      </w:pPr>
      <w:r>
        <w:rPr>
          <w:rFonts w:ascii="Microsoft YaHei" w:hAnsi="Microsoft YaHei" w:eastAsia="Microsoft YaHei"/>
          <w:b/>
          <w:i w:val="0"/>
          <w:color w:val="131C2B"/>
          <w:sz w:val="60"/>
        </w:rPr>
        <w:t>园区集群注册托管档案库</w:t>
      </w:r>
    </w:p>
    <w:p>
      <w:pPr>
        <w:spacing w:after="80"/>
        <w:jc w:val="center"/>
      </w:pPr>
      <w:r>
        <w:rPr>
          <w:rFonts w:ascii="Microsoft YaHei" w:hAnsi="Microsoft YaHei" w:eastAsia="Microsoft YaHei"/>
          <w:b w:val="0"/>
          <w:i w:val="0"/>
          <w:color w:val="5A6B84"/>
          <w:sz w:val="30"/>
        </w:rPr>
        <w:t>宣传手册 · 产品介绍与应用指南</w:t>
      </w:r>
    </w:p>
    <w:p>
      <w:pPr>
        <w:spacing w:after="520"/>
        <w:jc w:val="center"/>
      </w:pPr>
      <w:r>
        <w:rPr>
          <w:rFonts w:ascii="Microsoft YaHei" w:hAnsi="Microsoft YaHei" w:eastAsia="Microsoft YaHei"/>
          <w:b w:val="0"/>
          <w:i w:val="0"/>
          <w:color w:val="5A6B84"/>
          <w:sz w:val="23"/>
        </w:rPr>
        <w:t>一户一台账 · 园区行级数据隔离 · 到期前 15 天自动提醒</w:t>
      </w:r>
    </w:p>
    <w:p>
      <w:pPr>
        <w:spacing w:after="80"/>
        <w:jc w:val="center"/>
      </w:pPr>
      <w:r>
        <w:rPr>
          <w:rFonts w:ascii="Microsoft YaHei" w:hAnsi="Microsoft YaHei" w:eastAsia="Microsoft YaHei"/>
          <w:b w:val="0"/>
          <w:i w:val="0"/>
          <w:color w:val="5A6B84"/>
          <w:sz w:val="21"/>
        </w:rPr>
        <w:t>上海思扬信息科技有限公司（算数科技 MIC · ThinkFly）   ·   版本 V1.0   ·   2026-10-15</w:t>
      </w:r>
    </w:p>
    <w:p>
      <w:pPr>
        <w:spacing w:after="0"/>
        <w:jc w:val="center"/>
      </w:pPr>
      <w:r>
        <w:rPr>
          <w:rFonts w:ascii="Microsoft YaHei" w:hAnsi="Microsoft YaHei" w:eastAsia="Microsoft YaHei"/>
          <w:b w:val="0"/>
          <w:i w:val="0"/>
          <w:color w:val="5A6B84"/>
          <w:sz w:val="21"/>
        </w:rPr>
        <w:t>电话 / 微信 18016313342（微信同号） · cooper@micount.cn</w:t>
      </w:r>
    </w:p>
    <w:p>
      <w:r>
        <w:br w:type="page"/>
      </w:r>
    </w:p>
    <w:p>
      <w:pPr>
        <w:pStyle w:val="Heading1"/>
      </w:pPr>
      <w:r>
        <w:t>目录</w:t>
      </w:r>
    </w:p>
    <w:p>
      <w:pPr>
        <w:spacing w:after="60"/>
      </w:pPr>
      <w:r>
        <w:rPr>
          <w:rFonts w:ascii="Microsoft YaHei" w:hAnsi="Microsoft YaHei" w:eastAsia="Microsoft YaHei"/>
          <w:b w:val="0"/>
          <w:i w:val="0"/>
          <w:color w:val="131C2B"/>
          <w:sz w:val="22"/>
        </w:rPr>
        <w:t>一、产品概述</w:t>
      </w:r>
    </w:p>
    <w:p>
      <w:pPr>
        <w:spacing w:after="60"/>
      </w:pPr>
      <w:r>
        <w:rPr>
          <w:rFonts w:ascii="Microsoft YaHei" w:hAnsi="Microsoft YaHei" w:eastAsia="Microsoft YaHei"/>
          <w:b w:val="0"/>
          <w:i w:val="0"/>
          <w:color w:val="131C2B"/>
          <w:sz w:val="22"/>
        </w:rPr>
        <w:t>二、业务背景与痛点</w:t>
      </w:r>
    </w:p>
    <w:p>
      <w:pPr>
        <w:spacing w:after="60"/>
      </w:pPr>
      <w:r>
        <w:rPr>
          <w:rFonts w:ascii="Microsoft YaHei" w:hAnsi="Microsoft YaHei" w:eastAsia="Microsoft YaHei"/>
          <w:b w:val="0"/>
          <w:i w:val="0"/>
          <w:color w:val="131C2B"/>
          <w:sz w:val="22"/>
        </w:rPr>
        <w:t>三、核心功能</w:t>
      </w:r>
    </w:p>
    <w:p>
      <w:pPr>
        <w:spacing w:after="60"/>
      </w:pPr>
      <w:r>
        <w:rPr>
          <w:rFonts w:ascii="Microsoft YaHei" w:hAnsi="Microsoft YaHei" w:eastAsia="Microsoft YaHei"/>
          <w:b w:val="0"/>
          <w:i w:val="0"/>
          <w:color w:val="131C2B"/>
          <w:sz w:val="22"/>
        </w:rPr>
        <w:t>四、业务场景详述</w:t>
      </w:r>
    </w:p>
    <w:p>
      <w:pPr>
        <w:spacing w:after="60"/>
      </w:pPr>
      <w:r>
        <w:rPr>
          <w:rFonts w:ascii="Microsoft YaHei" w:hAnsi="Microsoft YaHei" w:eastAsia="Microsoft YaHei"/>
          <w:b w:val="0"/>
          <w:i w:val="0"/>
          <w:color w:val="131C2B"/>
          <w:sz w:val="22"/>
        </w:rPr>
        <w:t>五、五大业务模块</w:t>
      </w:r>
    </w:p>
    <w:p>
      <w:pPr>
        <w:spacing w:after="60"/>
      </w:pPr>
      <w:r>
        <w:rPr>
          <w:rFonts w:ascii="Microsoft YaHei" w:hAnsi="Microsoft YaHei" w:eastAsia="Microsoft YaHei"/>
          <w:b w:val="0"/>
          <w:i w:val="0"/>
          <w:color w:val="131C2B"/>
          <w:sz w:val="22"/>
        </w:rPr>
        <w:t>六、自动化规则与合规底线</w:t>
      </w:r>
    </w:p>
    <w:p>
      <w:pPr>
        <w:spacing w:after="60"/>
      </w:pPr>
      <w:r>
        <w:rPr>
          <w:rFonts w:ascii="Microsoft YaHei" w:hAnsi="Microsoft YaHei" w:eastAsia="Microsoft YaHei"/>
          <w:b w:val="0"/>
          <w:i w:val="0"/>
          <w:color w:val="131C2B"/>
          <w:sz w:val="22"/>
        </w:rPr>
        <w:t>七、角色权限与数据隔离</w:t>
      </w:r>
    </w:p>
    <w:p>
      <w:pPr>
        <w:spacing w:after="60"/>
      </w:pPr>
      <w:r>
        <w:rPr>
          <w:rFonts w:ascii="Microsoft YaHei" w:hAnsi="Microsoft YaHei" w:eastAsia="Microsoft YaHei"/>
          <w:b w:val="0"/>
          <w:i w:val="0"/>
          <w:color w:val="131C2B"/>
          <w:sz w:val="22"/>
        </w:rPr>
        <w:t>八、移动端能力</w:t>
      </w:r>
    </w:p>
    <w:p>
      <w:pPr>
        <w:spacing w:after="60"/>
      </w:pPr>
      <w:r>
        <w:rPr>
          <w:rFonts w:ascii="Microsoft YaHei" w:hAnsi="Microsoft YaHei" w:eastAsia="Microsoft YaHei"/>
          <w:b w:val="0"/>
          <w:i w:val="0"/>
          <w:color w:val="131C2B"/>
          <w:sz w:val="22"/>
        </w:rPr>
        <w:t>九、落地价值与实施建议</w:t>
      </w:r>
    </w:p>
    <w:p>
      <w:pPr>
        <w:spacing w:after="60"/>
      </w:pPr>
      <w:r>
        <w:rPr>
          <w:rFonts w:ascii="Microsoft YaHei" w:hAnsi="Microsoft YaHei" w:eastAsia="Microsoft YaHei"/>
          <w:b w:val="0"/>
          <w:i w:val="0"/>
          <w:color w:val="131C2B"/>
          <w:sz w:val="22"/>
        </w:rPr>
        <w:t>十、商务联系与资料下载</w:t>
      </w:r>
    </w:p>
    <w:p>
      <w:r>
        <w:br w:type="page"/>
      </w:r>
    </w:p>
    <w:p>
      <w:pPr>
        <w:pStyle w:val="Heading1"/>
      </w:pPr>
      <w:r>
        <w:t>一、产品概述</w:t>
      </w:r>
    </w:p>
    <w:p>
      <w:pPr>
        <w:spacing w:after="120"/>
      </w:pPr>
      <w:r>
        <w:rPr>
          <w:rFonts w:ascii="Microsoft YaHei" w:hAnsi="Microsoft YaHei" w:eastAsia="Microsoft YaHei"/>
          <w:b w:val="0"/>
          <w:i w:val="0"/>
          <w:color w:val="5A6B84"/>
          <w:sz w:val="21"/>
        </w:rPr>
        <w:t>园区集群注册托管档案库 是面向园区运营方与财税公司的集群注册托管全流程在线档案库。它把托管手续办理、回访、文书签收与证照邮寄、续费与注销提醒、费用缴纳五张子表收进一张企业台账，按所属园区做行级数据隔离，并在到期前 15 天自动提醒财税公司联系人，主管一键终审。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46"/>
        <w:gridCol w:w="4646"/>
      </w:tblGrid>
      <w:tr>
        <w:tc>
          <w:tcPr>
            <w:tcW w:type="dxa" w:w="1928"/>
            <w:shd w:val="clear" w:fill="1F6FEB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7030"/>
            <w:shd w:val="clear" w:fill="1F6FEB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产品名称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园区集群注册托管档案库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产品定位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园区集群注册托管档案管理（Web + 移动端）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适用对象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园区运营方管理人员、园区专员、运营主管、财税公司对接人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核心主线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企业主档（一户）→ 手续 / 回访 / 文书 / 提醒 / 收费五张子表 → 全生命周期时间线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数据隔离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按台账所属园区做行级隔离，服务端二次校验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提醒对象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仅限台账所属财税公司的联系对接人，不含企业法定代表人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交付形态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SaaS / 私有化部署，PC 端 + 移动端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出品方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上海思扬信息科技有限公司（算数科技 MIC · ThinkFly）</w:t>
            </w:r>
          </w:p>
        </w:tc>
      </w:tr>
    </w:tbl>
    <w:p>
      <w:pPr>
        <w:pStyle w:val="Heading1"/>
      </w:pPr>
      <w:r>
        <w:t>二、业务背景与痛点</w:t>
      </w:r>
    </w:p>
    <w:p>
      <w:pPr>
        <w:spacing w:after="120"/>
      </w:pPr>
      <w:r>
        <w:rPr>
          <w:rFonts w:ascii="Microsoft YaHei" w:hAnsi="Microsoft YaHei" w:eastAsia="Microsoft YaHei"/>
          <w:b w:val="0"/>
          <w:i w:val="0"/>
          <w:color w:val="5A6B84"/>
          <w:sz w:val="21"/>
        </w:rPr>
        <w:t>园区运营方日常要照看几十上百家企业的托管事务。事情本身不难，难在全部靠人记、靠群催。一旦台账规模上来，下面这些问题会同时出现：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台账散落在 Excel 与微信群，一户一档难以成卷，交接即断档；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托管到期靠人翻表，临期漏提醒、超期才发现，客户流失难追回；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文书签收与证照邮寄没有节点考核，出了问题说不清责任；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缴费与顺延靠手工改日期，应收、实收、欠费对不上账；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多个园区数据混在一起，园区专员能翻到不属于自己的客户。</w:t>
      </w:r>
    </w:p>
    <w:p>
      <w:pPr>
        <w:pStyle w:val="Heading1"/>
      </w:pPr>
      <w:r>
        <w:t>三、核心功能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46"/>
        <w:gridCol w:w="4646"/>
      </w:tblGrid>
      <w:tr>
        <w:tc>
          <w:tcPr>
            <w:tcW w:type="dxa" w:w="2041"/>
            <w:shd w:val="clear" w:fill="1F6FEB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核心能力</w:t>
            </w:r>
          </w:p>
        </w:tc>
        <w:tc>
          <w:tcPr>
            <w:tcW w:type="dxa" w:w="6917"/>
            <w:shd w:val="clear" w:fill="1F6FEB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一户一台账</w:t>
            </w:r>
          </w:p>
        </w:tc>
        <w:tc>
          <w:tcPr>
            <w:tcW w:type="dxa" w:w="6917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企业主档记录名称、统一社会信用代码、法定代表人、注册地址、托管地址、入驻园区、托管起止日期、挂靠费与缴费情况，并挂载手续、回访、文书、提醒、收费五类明细子表。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园区行级隔离</w:t>
            </w:r>
          </w:p>
        </w:tc>
        <w:tc>
          <w:tcPr>
            <w:tcW w:type="dxa" w:w="6917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一切列表、详情、导出、统计看板与下拉选择器都在数据层按所属园区过滤；命中未授权园区时返回「不属于您的授权园区」并记录该次越权尝试。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到期自动提醒</w:t>
            </w:r>
          </w:p>
        </w:tc>
        <w:tc>
          <w:tcPr>
            <w:tcW w:type="dxa" w:w="6917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到期前 15 天生成提醒任务并按财税公司联系人推送，推送失败自动降级为站内消息，处理结果支持主管终审，保证提醒不丢。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文书与证照邮寄</w:t>
            </w:r>
          </w:p>
        </w:tc>
        <w:tc>
          <w:tcPr>
            <w:tcW w:type="dxa" w:w="6917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签收 2 小时内未转交自动催办；转交必须登记快递公司与快递单号；已转交 48 小时未确认再次推送并置为超时未确认；原件照片必传。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缴费闭环</w:t>
            </w:r>
          </w:p>
        </w:tc>
        <w:tc>
          <w:tcPr>
            <w:tcW w:type="dxa" w:w="6917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实收 ≥ 应收即置为已缴费、托管到期日顺延 1 年、自动关闭对应提醒任务，三项动作同一事务完成。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Excel 批量导入</w:t>
            </w:r>
          </w:p>
        </w:tc>
        <w:tc>
          <w:tcPr>
            <w:tcW w:type="dxa" w:w="6917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提供 15 列模板，逐行校验后入库；失败行不进库并单独生成失败原因清单。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移动端优先</w:t>
            </w:r>
          </w:p>
        </w:tc>
        <w:tc>
          <w:tcPr>
            <w:tcW w:type="dxa" w:w="6917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手机拍照上传文书原件、快速回访录入、待办与提醒查看、台账时间线查看。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操作日志留痕</w:t>
            </w:r>
          </w:p>
        </w:tc>
        <w:tc>
          <w:tcPr>
            <w:tcW w:type="dxa" w:w="6917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新增、编辑、状态变更、状态终审、移除托管地址、登录记录等敏感操作全量写入只读日志。</w:t>
            </w:r>
          </w:p>
        </w:tc>
      </w:tr>
    </w:tbl>
    <w:p>
      <w:pPr>
        <w:pStyle w:val="Heading1"/>
      </w:pPr>
      <w:r>
        <w:t>四、业务场景详述</w:t>
      </w:r>
    </w:p>
    <w:p>
      <w:pPr>
        <w:pStyle w:val="Heading2"/>
      </w:pPr>
      <w:r>
        <w:t>场景 01　一户一台账，企业全生命周期一屏看完</w:t>
      </w:r>
    </w:p>
    <w:p>
      <w:pPr>
        <w:spacing w:after="120"/>
      </w:pPr>
      <w:r>
        <w:rPr>
          <w:rFonts w:ascii="Microsoft YaHei" w:hAnsi="Microsoft YaHei" w:eastAsia="Microsoft YaHei"/>
          <w:b w:val="0"/>
          <w:i w:val="0"/>
          <w:color w:val="5A6B84"/>
          <w:sz w:val="21"/>
        </w:rPr>
        <w:t>新增台账时录入托管地址即自动识别所属园区；主档信息与五类子表明细在同一个详情页内按标签切换。新增、编辑、状态变更全部写入时间线，谁在什么时候改了哪一个字段都能查到。</w:t>
      </w:r>
    </w:p>
    <w:p>
      <w:pPr>
        <w:pStyle w:val="Heading2"/>
      </w:pPr>
      <w:r>
        <w:t>场景 02　按所属园区做行级隔离，跨园区数据看不到</w:t>
      </w:r>
    </w:p>
    <w:p>
      <w:pPr>
        <w:spacing w:after="120"/>
      </w:pPr>
      <w:r>
        <w:rPr>
          <w:rFonts w:ascii="Microsoft YaHei" w:hAnsi="Microsoft YaHei" w:eastAsia="Microsoft YaHei"/>
          <w:b w:val="0"/>
          <w:i w:val="0"/>
          <w:color w:val="5A6B84"/>
          <w:sz w:val="21"/>
        </w:rPr>
        <w:t>园区专员的账号只被授权本人负责的园区，任何入口都看不到其他园区数据。即使手工修改请求参数指向未授权园区，接口也会拒绝并记录该次尝试。</w:t>
      </w:r>
    </w:p>
    <w:p>
      <w:pPr>
        <w:pStyle w:val="Heading2"/>
      </w:pPr>
      <w:r>
        <w:t>场景 03　到期前 15 天，自动提醒财税公司联系人</w:t>
      </w:r>
    </w:p>
    <w:p>
      <w:pPr>
        <w:spacing w:after="120"/>
      </w:pPr>
      <w:r>
        <w:rPr>
          <w:rFonts w:ascii="Microsoft YaHei" w:hAnsi="Microsoft YaHei" w:eastAsia="Microsoft YaHei"/>
          <w:b w:val="0"/>
          <w:i w:val="0"/>
          <w:color w:val="5A6B84"/>
          <w:sz w:val="21"/>
        </w:rPr>
        <w:t>计划任务每天扫描托管到期日，剩余天数 ≤ 15 天即生成提醒任务并推送。推送渠道失败自动降级为站内消息，提醒的处理结果由运营主管终审。</w:t>
      </w:r>
    </w:p>
    <w:p>
      <w:pPr>
        <w:pStyle w:val="Heading2"/>
      </w:pPr>
      <w:r>
        <w:t>场景 04　文书签收与证照邮寄，节点超时自动催办</w:t>
      </w:r>
    </w:p>
    <w:p>
      <w:pPr>
        <w:spacing w:after="120"/>
      </w:pPr>
      <w:r>
        <w:rPr>
          <w:rFonts w:ascii="Microsoft YaHei" w:hAnsi="Microsoft YaHei" w:eastAsia="Microsoft YaHei"/>
          <w:b w:val="0"/>
          <w:i w:val="0"/>
          <w:color w:val="5A6B84"/>
          <w:sz w:val="21"/>
        </w:rPr>
        <w:t>文书到达登记签收并上传原件照片；转交时登记快递公司与快递单号；签收 2 小时未转交、转交 48 小时未确认都会自动催办并留痕。</w:t>
      </w:r>
    </w:p>
    <w:p>
      <w:pPr>
        <w:pStyle w:val="Heading2"/>
      </w:pPr>
      <w:r>
        <w:t>场景 05　缴费闭环，应收实收欠费可对账</w:t>
      </w:r>
    </w:p>
    <w:p>
      <w:pPr>
        <w:spacing w:after="120"/>
      </w:pPr>
      <w:r>
        <w:rPr>
          <w:rFonts w:ascii="Microsoft YaHei" w:hAnsi="Microsoft YaHei" w:eastAsia="Microsoft YaHei"/>
          <w:b w:val="0"/>
          <w:i w:val="0"/>
          <w:color w:val="5A6B84"/>
          <w:sz w:val="21"/>
        </w:rPr>
        <w:t>登记收费后实收达到应收即自动置为已缴费并顺延到期日一年，同时关闭提醒任务；已过到期日仍未缴费的置为「未缴费待移除」，推入主管终审队列。</w:t>
      </w:r>
    </w:p>
    <w:p>
      <w:pPr>
        <w:pStyle w:val="Heading2"/>
      </w:pPr>
      <w:r>
        <w:t>场景 06　移动端优先，现场拍照即归档</w:t>
      </w:r>
    </w:p>
    <w:p>
      <w:pPr>
        <w:spacing w:after="120"/>
      </w:pPr>
      <w:r>
        <w:rPr>
          <w:rFonts w:ascii="Microsoft YaHei" w:hAnsi="Microsoft YaHei" w:eastAsia="Microsoft YaHei"/>
          <w:b w:val="0"/>
          <w:i w:val="0"/>
          <w:color w:val="5A6B84"/>
          <w:sz w:val="21"/>
        </w:rPr>
        <w:t>园区专员在园区现场用手机完成拍照上传、快速回访、待办处理与时间线查看，回到办公室无需二次录入。</w:t>
      </w:r>
    </w:p>
    <w:p>
      <w:pPr>
        <w:pStyle w:val="Heading1"/>
      </w:pPr>
      <w:r>
        <w:t>五、五大业务模块</w:t>
      </w:r>
    </w:p>
    <w:p>
      <w:pPr>
        <w:pStyle w:val="Heading2"/>
      </w:pPr>
      <w:r>
        <w:t>一、园区信息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园区列表 / 详情 / 新增编辑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园区地址库（额度、占用与释放）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园区维度统计看板</w:t>
      </w:r>
    </w:p>
    <w:p>
      <w:pPr>
        <w:pStyle w:val="Heading2"/>
      </w:pPr>
      <w:r>
        <w:t>二、客户信息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财税公司档案（直接客户）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合作园区、联系对接人、合作状态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报单总数 / 本月报单 / 续费率</w:t>
      </w:r>
    </w:p>
    <w:p>
      <w:pPr>
        <w:pStyle w:val="Heading2"/>
      </w:pPr>
      <w:r>
        <w:t>三、台账信息（核心）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一户一档详情 + 全生命周期时间线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一键录入（地址自动识别园区）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Excel 批量导入向导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手续 / 回访 / 文书 / 提醒 / 收费子表</w:t>
      </w:r>
    </w:p>
    <w:p>
      <w:pPr>
        <w:pStyle w:val="Heading2"/>
      </w:pPr>
      <w:r>
        <w:t>四、投诉和异常处理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投诉事实属性：来源平台 + 受理部门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异常类型：投诉 / 税务 / 工商 / 年报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处理进展与超期预警</w:t>
      </w:r>
    </w:p>
    <w:p>
      <w:pPr>
        <w:pStyle w:val="Heading2"/>
      </w:pPr>
      <w:r>
        <w:t>五、设置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成员与权限配置（园区授权）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数据字典管理（27 组枚举）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操作日志查询（含登录记录）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报表看板配置（系统参数）</w:t>
      </w:r>
    </w:p>
    <w:p>
      <w:pPr>
        <w:pStyle w:val="Heading1"/>
      </w:pPr>
      <w:r>
        <w:t>六、自动化规则与合规底线</w:t>
      </w:r>
    </w:p>
    <w:p>
      <w:pPr>
        <w:pStyle w:val="Heading2"/>
      </w:pPr>
      <w:r>
        <w:t>6.1 十个计划任务</w:t>
      </w:r>
    </w:p>
    <w:p>
      <w:pPr>
        <w:spacing w:after="120"/>
      </w:pPr>
      <w:r>
        <w:rPr>
          <w:rFonts w:ascii="Microsoft YaHei" w:hAnsi="Microsoft YaHei" w:eastAsia="Microsoft YaHei"/>
          <w:b w:val="0"/>
          <w:i w:val="0"/>
          <w:color w:val="5A6B84"/>
          <w:sz w:val="21"/>
        </w:rPr>
        <w:t>后台计划任务按令牌调用，幂等执行并留存执行日志，全部可按园区隔离统计。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97"/>
        <w:gridCol w:w="3097"/>
        <w:gridCol w:w="3097"/>
      </w:tblGrid>
      <w:tr>
        <w:tc>
          <w:tcPr>
            <w:tcW w:type="dxa" w:w="2041"/>
            <w:shd w:val="clear" w:fill="1F6FEB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任务标识</w:t>
            </w:r>
          </w:p>
        </w:tc>
        <w:tc>
          <w:tcPr>
            <w:tcW w:type="dxa" w:w="2948"/>
            <w:shd w:val="clear" w:fill="1F6FEB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触发规则</w:t>
            </w:r>
          </w:p>
        </w:tc>
        <w:tc>
          <w:tcPr>
            <w:tcW w:type="dxa" w:w="3969"/>
            <w:shd w:val="clear" w:fill="1F6FEB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执行动作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due_reminder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托管到期日剩余 ≤ 15 天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生成提醒任务并发送财税公司联系人，处理结果支持主管终审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doc_timeout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文书签收后 2 小时未转交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生成超时提醒，催办园区专员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doc_confirm_timeout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已转交 48 小时财税公司未确认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再次推送并置为「超时未确认」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visit_overdue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季度（90 天）未回访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生成超期回访提醒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unpaid_overdue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已过到期日仍为未缴费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置为「未缴费待移除」，进入主管终审队列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quota_warn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园区地址可用率低于 10%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额度预警，进入异常看板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cancel_overdue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注销办理超 30 天未办结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提醒跟进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issue_overdue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出证时效超 15 天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提醒跟进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daily_summary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每日 08:00 汇总当日操作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汇总当日新增 / 编辑 / 批量导入条数与敏感操作数量，生成「每日运营汇总」站内消息推送管理员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protocol_missing</w:t>
            </w:r>
          </w:p>
        </w:tc>
        <w:tc>
          <w:tcPr>
            <w:tcW w:type="dxa" w:w="294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台账缺托管协议签订手续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生成缺失提醒</w:t>
            </w:r>
          </w:p>
        </w:tc>
      </w:tr>
    </w:tbl>
    <w:p>
      <w:pPr>
        <w:pStyle w:val="Heading2"/>
      </w:pPr>
      <w:r>
        <w:t>6.2 合规底线：只联系财税公司联系人</w:t>
      </w:r>
    </w:p>
    <w:p>
      <w:pPr>
        <w:spacing w:after="120"/>
      </w:pPr>
      <w:r>
        <w:rPr>
          <w:rFonts w:ascii="Microsoft YaHei" w:hAnsi="Microsoft YaHei" w:eastAsia="Microsoft YaHei"/>
          <w:b/>
          <w:i w:val="0"/>
          <w:color w:val="B91C1C"/>
          <w:sz w:val="22"/>
        </w:rPr>
        <w:t>系统严格禁止向企业法定代表人发送任何提醒或通知。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所有到期提醒、文书超时提醒、地址移除通知，接收方唯一为台账所属财税公司的联系对接人与其联系电话；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法定代表人电话仅作档案留存，页面明确标注不用于通知；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校验失败即阻断发送，不做兜底外发；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全部提醒动作写入提醒子表与操作日志，事后可倒查。</w:t>
      </w:r>
    </w:p>
    <w:p>
      <w:pPr>
        <w:pStyle w:val="Heading1"/>
      </w:pPr>
      <w:r>
        <w:t>七、角色权限与数据隔离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23"/>
        <w:gridCol w:w="2323"/>
        <w:gridCol w:w="2323"/>
        <w:gridCol w:w="2323"/>
      </w:tblGrid>
      <w:tr>
        <w:tc>
          <w:tcPr>
            <w:tcW w:type="dxa" w:w="2268"/>
            <w:shd w:val="clear" w:fill="1F6FEB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功能范围</w:t>
            </w:r>
          </w:p>
        </w:tc>
        <w:tc>
          <w:tcPr>
            <w:tcW w:type="dxa" w:w="2268"/>
            <w:shd w:val="clear" w:fill="1F6FEB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园区专员</w:t>
            </w:r>
          </w:p>
        </w:tc>
        <w:tc>
          <w:tcPr>
            <w:tcW w:type="dxa" w:w="2268"/>
            <w:shd w:val="clear" w:fill="1F6FEB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运营主管</w:t>
            </w:r>
          </w:p>
        </w:tc>
        <w:tc>
          <w:tcPr>
            <w:tcW w:type="dxa" w:w="2154"/>
            <w:shd w:val="clear" w:fill="1F6FEB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管理员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园区信息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仅授权园区（只读）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授权园区（读写）</w:t>
            </w:r>
          </w:p>
        </w:tc>
        <w:tc>
          <w:tcPr>
            <w:tcW w:type="dxa" w:w="2154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全部园区（读写）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园区地址库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仅授权园区（只读）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授权园区（读写）</w:t>
            </w:r>
          </w:p>
        </w:tc>
        <w:tc>
          <w:tcPr>
            <w:tcW w:type="dxa" w:w="2154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全部园区（读写）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财税公司档案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仅授权园区（只读）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授权园区（读写）</w:t>
            </w:r>
          </w:p>
        </w:tc>
        <w:tc>
          <w:tcPr>
            <w:tcW w:type="dxa" w:w="2154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全部（读写）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台账一户一档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本人负责园区（读写）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授权园区（读写）</w:t>
            </w:r>
          </w:p>
        </w:tc>
        <w:tc>
          <w:tcPr>
            <w:tcW w:type="dxa" w:w="2154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全部（读写）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台账导出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不可导出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授权园区可导出</w:t>
            </w:r>
          </w:p>
        </w:tc>
        <w:tc>
          <w:tcPr>
            <w:tcW w:type="dxa" w:w="2154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全部可导出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状态终审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不可终审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可终审</w:t>
            </w:r>
          </w:p>
        </w:tc>
        <w:tc>
          <w:tcPr>
            <w:tcW w:type="dxa" w:w="2154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可终审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Excel 批量导入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不可导入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可导入</w:t>
            </w:r>
          </w:p>
        </w:tc>
        <w:tc>
          <w:tcPr>
            <w:tcW w:type="dxa" w:w="2154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可导入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投诉与异常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本人负责园区（登记）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授权园区（处理）</w:t>
            </w:r>
          </w:p>
        </w:tc>
        <w:tc>
          <w:tcPr>
            <w:tcW w:type="dxa" w:w="2154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全部（处理）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报表与看板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本人数据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授权园区</w:t>
            </w:r>
          </w:p>
        </w:tc>
        <w:tc>
          <w:tcPr>
            <w:tcW w:type="dxa" w:w="2154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全部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操作日志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仅本人记录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授权园区记录</w:t>
            </w:r>
          </w:p>
        </w:tc>
        <w:tc>
          <w:tcPr>
            <w:tcW w:type="dxa" w:w="2154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全部记录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成员与权限配置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不可见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不可见</w:t>
            </w:r>
          </w:p>
        </w:tc>
        <w:tc>
          <w:tcPr>
            <w:tcW w:type="dxa" w:w="2154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可配置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数据字典 / 系统参数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不可见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只读</w:t>
            </w:r>
          </w:p>
        </w:tc>
        <w:tc>
          <w:tcPr>
            <w:tcW w:type="dxa" w:w="2154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可配置</w:t>
            </w:r>
          </w:p>
        </w:tc>
      </w:tr>
    </w:tbl>
    <w:p>
      <w:pPr>
        <w:spacing w:after="120"/>
      </w:pPr>
      <w:r>
        <w:rPr>
          <w:rFonts w:ascii="Microsoft YaHei" w:hAnsi="Microsoft YaHei" w:eastAsia="Microsoft YaHei"/>
          <w:b w:val="0"/>
          <w:i w:val="0"/>
          <w:color w:val="5A6B84"/>
          <w:sz w:val="20"/>
        </w:rPr>
        <w:t>另预留「财税公司客户」端口（收费版启用）：仅可见本公司名下客户，本期不开放登录。</w:t>
      </w:r>
    </w:p>
    <w:p>
      <w:pPr>
        <w:pStyle w:val="Heading1"/>
      </w:pPr>
      <w:r>
        <w:t>八、移动端能力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文书原件拍照上传，自动压缩后归档；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快速回访录入，支持语音转文字；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待办与提醒随时查看并直接处理；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台账全生命周期时间线手机可看；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扫描托管地址二维码直达对应台账；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与 PC 端共用同一套权限与数据隔离规则。</w:t>
      </w:r>
    </w:p>
    <w:p>
      <w:pPr>
        <w:spacing w:after="120"/>
      </w:pPr>
      <w:r>
        <w:rPr>
          <w:rFonts w:ascii="Microsoft YaHei" w:hAnsi="Microsoft YaHei" w:eastAsia="Microsoft YaHei"/>
          <w:b w:val="0"/>
          <w:i w:val="0"/>
          <w:color w:val="5A6B84"/>
          <w:sz w:val="20"/>
        </w:rPr>
        <w:t>分工建议：PC 端承担批量导入、报表导出、权限与字典配置与主管终审；移动端承担拍照签收、现场回访、待办处理与时间线查看。两端数据同源。</w:t>
      </w:r>
    </w:p>
    <w:p>
      <w:pPr>
        <w:pStyle w:val="Heading1"/>
      </w:pPr>
      <w:r>
        <w:t>九、落地价值与实施建议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46"/>
        <w:gridCol w:w="4646"/>
      </w:tblGrid>
      <w:tr>
        <w:tc>
          <w:tcPr>
            <w:tcW w:type="dxa" w:w="2041"/>
            <w:shd w:val="clear" w:fill="1F6FEB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价值点</w:t>
            </w:r>
          </w:p>
        </w:tc>
        <w:tc>
          <w:tcPr>
            <w:tcW w:type="dxa" w:w="6917"/>
            <w:shd w:val="clear" w:fill="1F6FEB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提醒不再靠人</w:t>
            </w:r>
          </w:p>
        </w:tc>
        <w:tc>
          <w:tcPr>
            <w:tcW w:type="dxa" w:w="6917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到期前 15 天自动推送财税公司联系人，临期漏提醒归零。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责任说得清</w:t>
            </w:r>
          </w:p>
        </w:tc>
        <w:tc>
          <w:tcPr>
            <w:tcW w:type="dxa" w:w="6917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文书签收、转交、确认三节点带时间戳，超时自动催办。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账目对得上</w:t>
            </w:r>
          </w:p>
        </w:tc>
        <w:tc>
          <w:tcPr>
            <w:tcW w:type="dxa" w:w="6917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应收实收欠费同一口径，缴费即顺延，报表可直接导出。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数据管得住</w:t>
            </w:r>
          </w:p>
        </w:tc>
        <w:tc>
          <w:tcPr>
            <w:tcW w:type="dxa" w:w="6917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园区专员只看被授权园区，越权访问被拦截并留痕。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汇报拿得出手</w:t>
            </w:r>
          </w:p>
        </w:tc>
        <w:tc>
          <w:tcPr>
            <w:tcW w:type="dxa" w:w="6917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园区与客户维度的统计看板开箱可用，无需再手工汇总。</w:t>
            </w:r>
          </w:p>
        </w:tc>
      </w:tr>
    </w:tbl>
    <w:p>
      <w:pPr>
        <w:pStyle w:val="Heading2"/>
      </w:pPr>
      <w:r>
        <w:t>9.1 实施路径建议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第一步：导入园区与托管地址库，确定各园区额度；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第二步：导入财税公司档案与历史台账（使用 Excel 批量导入向导）；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第三步：配置成员账号与园区授权，明确谁负责哪个园区；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第四步：校准数据字典与提醒参数（到期提前天数、文书与回访阈值）；</w:t>
      </w:r>
    </w:p>
    <w:p>
      <w:pPr>
        <w:pStyle w:val="ListBullet"/>
        <w:spacing w:after="60" w:line="348" w:lineRule="auto"/>
      </w:pPr>
      <w:r>
        <w:rPr>
          <w:rFonts w:ascii="Microsoft YaHei" w:hAnsi="Microsoft YaHei" w:eastAsia="Microsoft YaHei"/>
          <w:color w:val="5A6B84"/>
          <w:sz w:val="21"/>
        </w:rPr>
        <w:t>第五步：试运行一个到期周期，核对提醒发送与缴费顺延是否符合预期。</w:t>
      </w:r>
    </w:p>
    <w:p>
      <w:pPr>
        <w:pStyle w:val="Heading1"/>
      </w:pPr>
      <w:r>
        <w:t>十、商务联系与资料下载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46"/>
        <w:gridCol w:w="4646"/>
      </w:tblGrid>
      <w:tr>
        <w:tc>
          <w:tcPr>
            <w:tcW w:type="dxa" w:w="1928"/>
            <w:shd w:val="clear" w:fill="1F6FEB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7030"/>
            <w:shd w:val="clear" w:fill="1F6FEB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商务联系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电话 / 微信 18016313342（微信同号）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邮箱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cooper@micount.cn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产品主页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https://p.zerocod.cn/fuwu-yuanquzhuce/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下载中心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提供功能清单（Excel）、功能介绍（PPT）、宣传手册（Word）三份资料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演示账号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陈志强（管理员）/ 李文斌（运营主管）/ 黄小云、吴建国、林秀珠（园区专员），初始密码 12345678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出品方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上海思扬信息科技有限公司（算数科技 MIC · ThinkFly）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版权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rFonts w:ascii="Microsoft YaHei" w:hAnsi="Microsoft YaHei" w:eastAsia="Microsoft YaHei"/>
                <w:color w:val="131C2B"/>
                <w:sz w:val="18"/>
              </w:rPr>
              <w:t>© 2026 上海思扬信息科技有限公司 · 算数科技 MIC</w:t>
            </w:r>
          </w:p>
        </w:tc>
      </w:tr>
    </w:tbl>
    <w:sectPr w:rsidR="00FC693F" w:rsidRPr="0006063C" w:rsidSect="00034616">
      <w:pgSz w:w="12240" w:h="15840"/>
      <w:pgMar w:top="1361" w:right="1474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Microsoft YaHei" w:hAnsi="Microsoft YaHei" w:eastAsia="Microsoft YaHei"/>
      <w:color w:val="131C2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F6FEB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31C2B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4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31C2B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