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>
      <w:pPr>
        <w:jc w:val="left"/>
      </w:pPr>
      <w:r>
        <w:rPr>
          <w:rFonts w:ascii="微软雅黑" w:hAnsi="微软雅黑" w:eastAsia="微软雅黑"/>
          <w:b/>
          <w:color w:val="B45309"/>
          <w:sz w:val="20"/>
        </w:rPr>
        <w:t>PROJECT SUITE  /  工程项目全流程管理系统</w:t>
      </w:r>
    </w:p>
    <w:p>
      <w:pPr>
        <w:spacing w:before="200"/>
      </w:pPr>
      <w:r>
        <w:rPr>
          <w:rFonts w:ascii="微软雅黑" w:hAnsi="微软雅黑" w:eastAsia="微软雅黑"/>
          <w:b/>
          <w:color w:val="0B1B33"/>
          <w:sz w:val="68"/>
        </w:rPr>
        <w:t>算数·工程管家</w:t>
      </w:r>
    </w:p>
    <w:p>
      <w:pPr>
        <w:spacing w:before="80"/>
      </w:pPr>
      <w:r>
        <w:rPr>
          <w:rFonts w:ascii="微软雅黑" w:hAnsi="微软雅黑" w:eastAsia="微软雅黑"/>
          <w:b w:val="0"/>
          <w:color w:val="5B6B83"/>
          <w:sz w:val="30"/>
        </w:rPr>
        <w:t>把项目从立项到回款，装进一个系统</w:t>
      </w:r>
    </w:p>
    <w:p>
      <w:pPr>
        <w:spacing w:before="360"/>
      </w:pPr>
      <w:r>
        <w:rPr>
          <w:rFonts w:ascii="微软雅黑" w:hAnsi="微软雅黑" w:eastAsia="微软雅黑"/>
          <w:b/>
          <w:color w:val="1D4ED8"/>
          <w:sz w:val="20"/>
        </w:rPr>
        <w:t>59 张业务单据表　·　84 个功能入口　·　15 条跨模块联动　·　6 大经营分析域</w:t>
      </w:r>
    </w:p>
    <w:p/>
    <w:p/>
    <w:p/>
    <w:p/>
    <w:p/>
    <w:p/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4592"/>
        <w:gridCol w:w="4592"/>
      </w:tblGrid>
      <w:tr>
        <w:tc>
          <w:tcPr>
            <w:tcW w:type="dxa" w:w="1814"/>
          </w:tcPr>
          <w:p>
            <w:pPr>
              <w:spacing w:before="40" w:after="40" w:line="324" w:lineRule="auto"/>
              <w:jc w:val="left"/>
            </w:pPr>
            <w:r/>
            <w:r>
              <w:rPr>
                <w:rFonts w:ascii="微软雅黑" w:hAnsi="微软雅黑" w:eastAsia="微软雅黑"/>
                <w:b/>
                <w:color w:val="5B6B83"/>
                <w:sz w:val="19"/>
              </w:rPr>
              <w:t>产品名称</w:t>
            </w:r>
          </w:p>
        </w:tc>
        <w:tc>
          <w:tcPr>
            <w:tcW w:type="dxa" w:w="7030"/>
          </w:tcPr>
          <w:p>
            <w:pPr>
              <w:spacing w:before="40" w:after="40" w:line="324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color w:val="0B1B33"/>
                <w:sz w:val="19"/>
              </w:rPr>
              <w:t>算数·工程管家</w:t>
            </w:r>
          </w:p>
        </w:tc>
      </w:tr>
      <w:tr>
        <w:tc>
          <w:tcPr>
            <w:tcW w:type="dxa" w:w="1814"/>
          </w:tcPr>
          <w:p>
            <w:pPr>
              <w:spacing w:before="40" w:after="40" w:line="324" w:lineRule="auto"/>
              <w:jc w:val="left"/>
            </w:pPr>
            <w:r/>
            <w:r>
              <w:rPr>
                <w:rFonts w:ascii="微软雅黑" w:hAnsi="微软雅黑" w:eastAsia="微软雅黑"/>
                <w:b/>
                <w:color w:val="5B6B83"/>
                <w:sz w:val="19"/>
              </w:rPr>
              <w:t>文档类型</w:t>
            </w:r>
          </w:p>
        </w:tc>
        <w:tc>
          <w:tcPr>
            <w:tcW w:type="dxa" w:w="7030"/>
          </w:tcPr>
          <w:p>
            <w:pPr>
              <w:spacing w:before="40" w:after="40" w:line="324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color w:val="0B1B33"/>
                <w:sz w:val="19"/>
              </w:rPr>
              <w:t>产品宣传手册（可编辑）</w:t>
            </w:r>
          </w:p>
        </w:tc>
      </w:tr>
      <w:tr>
        <w:tc>
          <w:tcPr>
            <w:tcW w:type="dxa" w:w="1814"/>
          </w:tcPr>
          <w:p>
            <w:pPr>
              <w:spacing w:before="40" w:after="40" w:line="324" w:lineRule="auto"/>
              <w:jc w:val="left"/>
            </w:pPr>
            <w:r/>
            <w:r>
              <w:rPr>
                <w:rFonts w:ascii="微软雅黑" w:hAnsi="微软雅黑" w:eastAsia="微软雅黑"/>
                <w:b/>
                <w:color w:val="5B6B83"/>
                <w:sz w:val="19"/>
              </w:rPr>
              <w:t>版本</w:t>
            </w:r>
          </w:p>
        </w:tc>
        <w:tc>
          <w:tcPr>
            <w:tcW w:type="dxa" w:w="7030"/>
          </w:tcPr>
          <w:p>
            <w:pPr>
              <w:spacing w:before="40" w:after="40" w:line="324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color w:val="0B1B33"/>
                <w:sz w:val="19"/>
              </w:rPr>
              <w:t>v1.16　2026.11</w:t>
            </w:r>
          </w:p>
        </w:tc>
      </w:tr>
      <w:tr>
        <w:tc>
          <w:tcPr>
            <w:tcW w:type="dxa" w:w="1814"/>
          </w:tcPr>
          <w:p>
            <w:pPr>
              <w:spacing w:before="40" w:after="40" w:line="324" w:lineRule="auto"/>
              <w:jc w:val="left"/>
            </w:pPr>
            <w:r/>
            <w:r>
              <w:rPr>
                <w:rFonts w:ascii="微软雅黑" w:hAnsi="微软雅黑" w:eastAsia="微软雅黑"/>
                <w:b/>
                <w:color w:val="5B6B83"/>
                <w:sz w:val="19"/>
              </w:rPr>
              <w:t>出品方</w:t>
            </w:r>
          </w:p>
        </w:tc>
        <w:tc>
          <w:tcPr>
            <w:tcW w:type="dxa" w:w="7030"/>
          </w:tcPr>
          <w:p>
            <w:pPr>
              <w:spacing w:before="40" w:after="40" w:line="324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color w:val="0B1B33"/>
                <w:sz w:val="19"/>
              </w:rPr>
              <w:t>上海思扬信息科技有限公司</w:t>
            </w:r>
          </w:p>
        </w:tc>
      </w:tr>
      <w:tr>
        <w:tc>
          <w:tcPr>
            <w:tcW w:type="dxa" w:w="1814"/>
          </w:tcPr>
          <w:p>
            <w:pPr>
              <w:spacing w:before="40" w:after="40" w:line="324" w:lineRule="auto"/>
              <w:jc w:val="left"/>
            </w:pPr>
            <w:r/>
            <w:r>
              <w:rPr>
                <w:rFonts w:ascii="微软雅黑" w:hAnsi="微软雅黑" w:eastAsia="微软雅黑"/>
                <w:b/>
                <w:color w:val="5B6B83"/>
                <w:sz w:val="19"/>
              </w:rPr>
              <w:t>技术平台</w:t>
            </w:r>
          </w:p>
        </w:tc>
        <w:tc>
          <w:tcPr>
            <w:tcW w:type="dxa" w:w="7030"/>
          </w:tcPr>
          <w:p>
            <w:pPr>
              <w:spacing w:before="40" w:after="40" w:line="324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color w:val="0B1B33"/>
                <w:sz w:val="19"/>
              </w:rPr>
              <w:t>算数科技</w:t>
            </w:r>
          </w:p>
        </w:tc>
      </w:tr>
      <w:tr>
        <w:tc>
          <w:tcPr>
            <w:tcW w:type="dxa" w:w="1814"/>
          </w:tcPr>
          <w:p>
            <w:pPr>
              <w:spacing w:before="40" w:after="40" w:line="324" w:lineRule="auto"/>
              <w:jc w:val="left"/>
            </w:pPr>
            <w:r/>
            <w:r>
              <w:rPr>
                <w:rFonts w:ascii="微软雅黑" w:hAnsi="微软雅黑" w:eastAsia="微软雅黑"/>
                <w:b/>
                <w:color w:val="5B6B83"/>
                <w:sz w:val="19"/>
              </w:rPr>
              <w:t>商务联系</w:t>
            </w:r>
          </w:p>
        </w:tc>
        <w:tc>
          <w:tcPr>
            <w:tcW w:type="dxa" w:w="7030"/>
          </w:tcPr>
          <w:p>
            <w:pPr>
              <w:spacing w:before="40" w:after="40" w:line="324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color w:val="0B1B33"/>
                <w:sz w:val="19"/>
              </w:rPr>
              <w:t>18016313342（微信同号）　cooper@micount.cn</w:t>
            </w:r>
          </w:p>
        </w:tc>
      </w:tr>
    </w:tbl>
    <w:p>
      <w:pPr>
        <w:spacing w:before="520"/>
      </w:pPr>
      <w:r>
        <w:rPr>
          <w:rFonts w:ascii="微软雅黑" w:hAnsi="微软雅黑" w:eastAsia="微软雅黑"/>
          <w:b w:val="0"/>
          <w:color w:val="8C9BB0"/>
          <w:sz w:val="17"/>
        </w:rPr>
        <w:t>https://p.zerocod.cn/gongcheng-guanjia/intro/</w:t>
      </w:r>
    </w:p>
    <w:p>
      <w:r>
        <w:br w:type="page"/>
      </w:r>
    </w:p>
    <w:p>
      <w:pPr>
        <w:spacing w:before="360" w:after="160"/>
        <w:pStyle w:val="Heading1"/>
        <w:pBdr>
          <w:bottom w:val="single" w:sz="12" w:space="4" w:color="F59E0B"/>
        </w:pBdr>
      </w:pPr>
      <w:r>
        <w:rPr>
          <w:rFonts w:ascii="微软雅黑" w:hAnsi="微软雅黑" w:eastAsia="微软雅黑"/>
          <w:b/>
          <w:color w:val="0B1B33"/>
          <w:sz w:val="32"/>
        </w:rPr>
        <w:t>一　产品概述</w:t>
      </w:r>
    </w:p>
    <w:p>
      <w:pPr>
        <w:spacing w:before="0" w:after="120" w:line="396" w:lineRule="auto"/>
        <w:ind w:firstLine="420"/>
        <w:jc w:val="both"/>
      </w:pPr>
      <w:r>
        <w:rPr>
          <w:rFonts w:ascii="微软雅黑" w:hAnsi="微软雅黑" w:eastAsia="微软雅黑"/>
          <w:b w:val="0"/>
          <w:color w:val="0B1B33"/>
          <w:sz w:val="21"/>
        </w:rPr>
        <w:t>算数·工程管家（Project Suite）是一套面向中小施工企业的工程项目全流程管理系统。它把「项目、合同、成本、物资、劳务、资金」放在同一条主线上：项目主档是根，合同与变更形成收入口径，物资、分包与劳务形成成本口径，结算、发票、收款形成回款口径，经营分析再把这些口径汇总成可下钻的指标。</w:t>
      </w:r>
    </w:p>
    <w:p>
      <w:pPr>
        <w:spacing w:before="0" w:after="120" w:line="396" w:lineRule="auto"/>
        <w:ind w:firstLine="420"/>
        <w:jc w:val="both"/>
      </w:pPr>
      <w:r>
        <w:rPr>
          <w:rFonts w:ascii="微软雅黑" w:hAnsi="微软雅黑" w:eastAsia="微软雅黑"/>
          <w:b w:val="0"/>
          <w:color w:val="0B1B33"/>
          <w:sz w:val="21"/>
        </w:rPr>
        <w:t>系统共 8 个导航分组、84 个功能入口、59 张业务单据表，内置 15 条跨模块自动联动，支持 PC 浏览器、移动 H5 与扫码作业。产品由上海思扬信息科技有限公司出品，算数科技提供技术平台。</w:t>
      </w:r>
    </w:p>
    <w:p>
      <w:pPr>
        <w:pStyle w:val="Heading2"/>
        <w:spacing w:before="240" w:after="100"/>
      </w:pPr>
      <w:r>
        <w:rPr>
          <w:rFonts w:ascii="微软雅黑" w:hAnsi="微软雅黑" w:eastAsia="微软雅黑"/>
          <w:b/>
          <w:color w:val="1D4ED8"/>
          <w:sz w:val="24"/>
        </w:rPr>
        <w:t>1.1 产品定位</w:t>
      </w:r>
    </w:p>
    <w:p>
      <w:pPr>
        <w:spacing w:after="60" w:line="372" w:lineRule="auto"/>
        <w:ind w:left="360"/>
      </w:pPr>
      <w:r>
        <w:rPr>
          <w:rFonts w:ascii="微软雅黑" w:hAnsi="微软雅黑" w:eastAsia="微软雅黑"/>
          <w:b/>
          <w:color w:val="B45309"/>
          <w:sz w:val="21"/>
        </w:rPr>
        <w:t xml:space="preserve">· </w:t>
      </w:r>
      <w:r>
        <w:rPr>
          <w:rFonts w:ascii="微软雅黑" w:hAnsi="微软雅黑" w:eastAsia="微软雅黑"/>
          <w:b/>
          <w:color w:val="0B1B33"/>
          <w:sz w:val="21"/>
        </w:rPr>
        <w:t>产品类型：</w:t>
      </w:r>
      <w:r>
        <w:rPr>
          <w:rFonts w:ascii="微软雅黑" w:hAnsi="微软雅黑" w:eastAsia="微软雅黑"/>
          <w:b w:val="0"/>
          <w:color w:val="5B6B83"/>
          <w:sz w:val="21"/>
        </w:rPr>
        <w:t>工程项目全流程管理系统（施工企业管理 SaaS），不是通用 OA，也不是单纯财务软件。</w:t>
      </w:r>
    </w:p>
    <w:p>
      <w:pPr>
        <w:spacing w:after="60" w:line="372" w:lineRule="auto"/>
        <w:ind w:left="360"/>
      </w:pPr>
      <w:r>
        <w:rPr>
          <w:rFonts w:ascii="微软雅黑" w:hAnsi="微软雅黑" w:eastAsia="微软雅黑"/>
          <w:b/>
          <w:color w:val="B45309"/>
          <w:sz w:val="21"/>
        </w:rPr>
        <w:t xml:space="preserve">· </w:t>
      </w:r>
      <w:r>
        <w:rPr>
          <w:rFonts w:ascii="微软雅黑" w:hAnsi="微软雅黑" w:eastAsia="微软雅黑"/>
          <w:b/>
          <w:color w:val="0B1B33"/>
          <w:sz w:val="21"/>
        </w:rPr>
        <w:t>目标客户：</w:t>
      </w:r>
      <w:r>
        <w:rPr>
          <w:rFonts w:ascii="微软雅黑" w:hAnsi="微软雅黑" w:eastAsia="微软雅黑"/>
          <w:b w:val="0"/>
          <w:color w:val="5B6B83"/>
          <w:sz w:val="21"/>
        </w:rPr>
        <w:t>年产值约 3000 万至 10 亿元的施工企业；房建总包、市政路桥、钢结构厂房、装饰装修、机电安装、园林养护。</w:t>
      </w:r>
    </w:p>
    <w:p>
      <w:pPr>
        <w:spacing w:after="60" w:line="372" w:lineRule="auto"/>
        <w:ind w:left="360"/>
      </w:pPr>
      <w:r>
        <w:rPr>
          <w:rFonts w:ascii="微软雅黑" w:hAnsi="微软雅黑" w:eastAsia="微软雅黑"/>
          <w:b/>
          <w:color w:val="B45309"/>
          <w:sz w:val="21"/>
        </w:rPr>
        <w:t xml:space="preserve">· </w:t>
      </w:r>
      <w:r>
        <w:rPr>
          <w:rFonts w:ascii="微软雅黑" w:hAnsi="微软雅黑" w:eastAsia="微软雅黑"/>
          <w:b/>
          <w:color w:val="0B1B33"/>
          <w:sz w:val="21"/>
        </w:rPr>
        <w:t>一句话价值：</w:t>
      </w:r>
      <w:r>
        <w:rPr>
          <w:rFonts w:ascii="微软雅黑" w:hAnsi="微软雅黑" w:eastAsia="微软雅黑"/>
          <w:b w:val="0"/>
          <w:color w:val="5B6B83"/>
          <w:sz w:val="21"/>
        </w:rPr>
        <w:t>把项目从立项到回款装进一个系统，让经营数据在发生地产生。</w:t>
      </w:r>
    </w:p>
    <w:p>
      <w:pPr>
        <w:pStyle w:val="Heading2"/>
        <w:spacing w:before="240" w:after="100"/>
      </w:pPr>
      <w:r>
        <w:rPr>
          <w:rFonts w:ascii="微软雅黑" w:hAnsi="微软雅黑" w:eastAsia="微软雅黑"/>
          <w:b/>
          <w:color w:val="1D4ED8"/>
          <w:sz w:val="24"/>
        </w:rPr>
        <w:t>1.2 关键数字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061"/>
        <w:gridCol w:w="3061"/>
        <w:gridCol w:w="3061"/>
      </w:tblGrid>
      <w:tr>
        <w:tc>
          <w:tcPr>
            <w:tcW w:type="dxa" w:w="1928"/>
            <w:shd w:val="clear" w:color="auto" w:fill="0B1B33"/>
          </w:tcPr>
          <w:p>
            <w:pPr>
              <w:spacing w:before="40" w:after="40" w:line="324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color w:val="FFFFFF"/>
                <w:sz w:val="19"/>
              </w:rPr>
              <w:t>指标</w:t>
            </w:r>
          </w:p>
        </w:tc>
        <w:tc>
          <w:tcPr>
            <w:tcW w:type="dxa" w:w="1474"/>
            <w:shd w:val="clear" w:color="auto" w:fill="0B1B33"/>
          </w:tcPr>
          <w:p>
            <w:pPr>
              <w:spacing w:before="40" w:after="40" w:line="324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color w:val="FFFFFF"/>
                <w:sz w:val="19"/>
              </w:rPr>
              <w:t>数量</w:t>
            </w:r>
          </w:p>
        </w:tc>
        <w:tc>
          <w:tcPr>
            <w:tcW w:type="dxa" w:w="5669"/>
            <w:shd w:val="clear" w:color="auto" w:fill="0B1B33"/>
          </w:tcPr>
          <w:p>
            <w:pPr>
              <w:spacing w:before="40" w:after="40" w:line="324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color w:val="FFFFFF"/>
                <w:sz w:val="19"/>
              </w:rPr>
              <w:t>说明</w:t>
            </w:r>
          </w:p>
        </w:tc>
      </w:tr>
      <w:tr>
        <w:tc>
          <w:tcPr>
            <w:tcW w:type="dxa" w:w="1928"/>
          </w:tcPr>
          <w:p>
            <w:pPr>
              <w:spacing w:before="40" w:after="40" w:line="324" w:lineRule="auto"/>
              <w:jc w:val="left"/>
            </w:pPr>
            <w:r/>
            <w:r>
              <w:rPr>
                <w:rFonts w:ascii="微软雅黑" w:hAnsi="微软雅黑" w:eastAsia="微软雅黑"/>
                <w:b/>
                <w:color w:val="0B1B33"/>
                <w:sz w:val="19"/>
              </w:rPr>
              <w:t>导航分组</w:t>
            </w:r>
          </w:p>
        </w:tc>
        <w:tc>
          <w:tcPr>
            <w:tcW w:type="dxa" w:w="1474"/>
          </w:tcPr>
          <w:p>
            <w:pPr>
              <w:spacing w:before="40" w:after="40" w:line="324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color w:val="0B1B33"/>
                <w:sz w:val="19"/>
              </w:rPr>
              <w:t>8 个</w:t>
            </w:r>
          </w:p>
        </w:tc>
        <w:tc>
          <w:tcPr>
            <w:tcW w:type="dxa" w:w="5669"/>
          </w:tcPr>
          <w:p>
            <w:pPr>
              <w:spacing w:before="40" w:after="40" w:line="324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color w:val="0B1B33"/>
                <w:sz w:val="19"/>
              </w:rPr>
              <w:t>总览、项目经营、分包与劳务、物资与设备、现场与质安、资金与成本、报表中心、系统设置</w:t>
            </w:r>
          </w:p>
        </w:tc>
      </w:tr>
      <w:tr>
        <w:tc>
          <w:tcPr>
            <w:tcW w:type="dxa" w:w="1928"/>
            <w:shd w:val="clear" w:color="auto" w:fill="F5F8FD"/>
          </w:tcPr>
          <w:p>
            <w:pPr>
              <w:spacing w:before="40" w:after="40" w:line="324" w:lineRule="auto"/>
              <w:jc w:val="left"/>
            </w:pPr>
            <w:r/>
            <w:r>
              <w:rPr>
                <w:rFonts w:ascii="微软雅黑" w:hAnsi="微软雅黑" w:eastAsia="微软雅黑"/>
                <w:b/>
                <w:color w:val="0B1B33"/>
                <w:sz w:val="19"/>
              </w:rPr>
              <w:t>功能入口</w:t>
            </w:r>
          </w:p>
        </w:tc>
        <w:tc>
          <w:tcPr>
            <w:tcW w:type="dxa" w:w="1474"/>
            <w:shd w:val="clear" w:color="auto" w:fill="F5F8FD"/>
          </w:tcPr>
          <w:p>
            <w:pPr>
              <w:spacing w:before="40" w:after="40" w:line="324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color w:val="0B1B33"/>
                <w:sz w:val="19"/>
              </w:rPr>
              <w:t>84 个</w:t>
            </w:r>
          </w:p>
        </w:tc>
        <w:tc>
          <w:tcPr>
            <w:tcW w:type="dxa" w:w="5669"/>
            <w:shd w:val="clear" w:color="auto" w:fill="F5F8FD"/>
          </w:tcPr>
          <w:p>
            <w:pPr>
              <w:spacing w:before="40" w:after="40" w:line="324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color w:val="0B1B33"/>
                <w:sz w:val="19"/>
              </w:rPr>
              <w:t>含分析页、业务单据页、配置页与自助页</w:t>
            </w:r>
          </w:p>
        </w:tc>
      </w:tr>
      <w:tr>
        <w:tc>
          <w:tcPr>
            <w:tcW w:type="dxa" w:w="1928"/>
          </w:tcPr>
          <w:p>
            <w:pPr>
              <w:spacing w:before="40" w:after="40" w:line="324" w:lineRule="auto"/>
              <w:jc w:val="left"/>
            </w:pPr>
            <w:r/>
            <w:r>
              <w:rPr>
                <w:rFonts w:ascii="微软雅黑" w:hAnsi="微软雅黑" w:eastAsia="微软雅黑"/>
                <w:b/>
                <w:color w:val="0B1B33"/>
                <w:sz w:val="19"/>
              </w:rPr>
              <w:t>业务单据表</w:t>
            </w:r>
          </w:p>
        </w:tc>
        <w:tc>
          <w:tcPr>
            <w:tcW w:type="dxa" w:w="1474"/>
          </w:tcPr>
          <w:p>
            <w:pPr>
              <w:spacing w:before="40" w:after="40" w:line="324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color w:val="0B1B33"/>
                <w:sz w:val="19"/>
              </w:rPr>
              <w:t>59 张</w:t>
            </w:r>
          </w:p>
        </w:tc>
        <w:tc>
          <w:tcPr>
            <w:tcW w:type="dxa" w:w="5669"/>
          </w:tcPr>
          <w:p>
            <w:pPr>
              <w:spacing w:before="40" w:after="40" w:line="324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color w:val="0B1B33"/>
                <w:sz w:val="19"/>
              </w:rPr>
              <w:t>项目、合同、结算、收付款、物资、设备、劳务、质安等</w:t>
            </w:r>
          </w:p>
        </w:tc>
      </w:tr>
      <w:tr>
        <w:tc>
          <w:tcPr>
            <w:tcW w:type="dxa" w:w="1928"/>
            <w:shd w:val="clear" w:color="auto" w:fill="F5F8FD"/>
          </w:tcPr>
          <w:p>
            <w:pPr>
              <w:spacing w:before="40" w:after="40" w:line="324" w:lineRule="auto"/>
              <w:jc w:val="left"/>
            </w:pPr>
            <w:r/>
            <w:r>
              <w:rPr>
                <w:rFonts w:ascii="微软雅黑" w:hAnsi="微软雅黑" w:eastAsia="微软雅黑"/>
                <w:b/>
                <w:color w:val="0B1B33"/>
                <w:sz w:val="19"/>
              </w:rPr>
              <w:t>跨模块联动</w:t>
            </w:r>
          </w:p>
        </w:tc>
        <w:tc>
          <w:tcPr>
            <w:tcW w:type="dxa" w:w="1474"/>
            <w:shd w:val="clear" w:color="auto" w:fill="F5F8FD"/>
          </w:tcPr>
          <w:p>
            <w:pPr>
              <w:spacing w:before="40" w:after="40" w:line="324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color w:val="0B1B33"/>
                <w:sz w:val="19"/>
              </w:rPr>
              <w:t>15 条</w:t>
            </w:r>
          </w:p>
        </w:tc>
        <w:tc>
          <w:tcPr>
            <w:tcW w:type="dxa" w:w="5669"/>
            <w:shd w:val="clear" w:color="auto" w:fill="F5F8FD"/>
          </w:tcPr>
          <w:p>
            <w:pPr>
              <w:spacing w:before="40" w:after="40" w:line="324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color w:val="0B1B33"/>
                <w:sz w:val="19"/>
              </w:rPr>
              <w:t>上游确认后下游自动生成或回写</w:t>
            </w:r>
          </w:p>
        </w:tc>
      </w:tr>
      <w:tr>
        <w:tc>
          <w:tcPr>
            <w:tcW w:type="dxa" w:w="1928"/>
          </w:tcPr>
          <w:p>
            <w:pPr>
              <w:spacing w:before="40" w:after="40" w:line="324" w:lineRule="auto"/>
              <w:jc w:val="left"/>
            </w:pPr>
            <w:r/>
            <w:r>
              <w:rPr>
                <w:rFonts w:ascii="微软雅黑" w:hAnsi="微软雅黑" w:eastAsia="微软雅黑"/>
                <w:b/>
                <w:color w:val="0B1B33"/>
                <w:sz w:val="19"/>
              </w:rPr>
              <w:t>经营分析域</w:t>
            </w:r>
          </w:p>
        </w:tc>
        <w:tc>
          <w:tcPr>
            <w:tcW w:type="dxa" w:w="1474"/>
          </w:tcPr>
          <w:p>
            <w:pPr>
              <w:spacing w:before="40" w:after="40" w:line="324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color w:val="0B1B33"/>
                <w:sz w:val="19"/>
              </w:rPr>
              <w:t>6 个</w:t>
            </w:r>
          </w:p>
        </w:tc>
        <w:tc>
          <w:tcPr>
            <w:tcW w:type="dxa" w:w="5669"/>
          </w:tcPr>
          <w:p>
            <w:pPr>
              <w:spacing w:before="40" w:after="40" w:line="324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color w:val="0B1B33"/>
                <w:sz w:val="19"/>
              </w:rPr>
              <w:t>项目经营、分包劳务、物资设备、现场质安、资金成本、收款应收</w:t>
            </w:r>
          </w:p>
        </w:tc>
      </w:tr>
      <w:tr>
        <w:tc>
          <w:tcPr>
            <w:tcW w:type="dxa" w:w="1928"/>
            <w:shd w:val="clear" w:color="auto" w:fill="F5F8FD"/>
          </w:tcPr>
          <w:p>
            <w:pPr>
              <w:spacing w:before="40" w:after="40" w:line="324" w:lineRule="auto"/>
              <w:jc w:val="left"/>
            </w:pPr>
            <w:r/>
            <w:r>
              <w:rPr>
                <w:rFonts w:ascii="微软雅黑" w:hAnsi="微软雅黑" w:eastAsia="微软雅黑"/>
                <w:b/>
                <w:color w:val="0B1B33"/>
                <w:sz w:val="19"/>
              </w:rPr>
              <w:t>使用端</w:t>
            </w:r>
          </w:p>
        </w:tc>
        <w:tc>
          <w:tcPr>
            <w:tcW w:type="dxa" w:w="1474"/>
            <w:shd w:val="clear" w:color="auto" w:fill="F5F8FD"/>
          </w:tcPr>
          <w:p>
            <w:pPr>
              <w:spacing w:before="40" w:after="40" w:line="324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color w:val="0B1B33"/>
                <w:sz w:val="19"/>
              </w:rPr>
              <w:t>3 类</w:t>
            </w:r>
          </w:p>
        </w:tc>
        <w:tc>
          <w:tcPr>
            <w:tcW w:type="dxa" w:w="5669"/>
            <w:shd w:val="clear" w:color="auto" w:fill="F5F8FD"/>
          </w:tcPr>
          <w:p>
            <w:pPr>
              <w:spacing w:before="40" w:after="40" w:line="324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color w:val="0B1B33"/>
                <w:sz w:val="19"/>
              </w:rPr>
              <w:t>PC 浏览器、移动 H5、扫码作业</w:t>
            </w:r>
          </w:p>
        </w:tc>
      </w:tr>
    </w:tbl>
    <w:p>
      <w:pPr>
        <w:spacing w:after="40"/>
      </w:pPr>
    </w:p>
    <w:p>
      <w:pPr>
        <w:spacing w:before="360" w:after="160"/>
        <w:pStyle w:val="Heading1"/>
        <w:pBdr>
          <w:bottom w:val="single" w:sz="12" w:space="4" w:color="F59E0B"/>
        </w:pBdr>
      </w:pPr>
      <w:r>
        <w:rPr>
          <w:rFonts w:ascii="微软雅黑" w:hAnsi="微软雅黑" w:eastAsia="微软雅黑"/>
          <w:b/>
          <w:color w:val="0B1B33"/>
          <w:sz w:val="32"/>
        </w:rPr>
        <w:t>二　行业断点与系统定位</w:t>
      </w:r>
    </w:p>
    <w:p>
      <w:pPr>
        <w:spacing w:before="0" w:after="120" w:line="396" w:lineRule="auto"/>
        <w:ind w:firstLine="420"/>
        <w:jc w:val="both"/>
      </w:pPr>
      <w:r>
        <w:rPr>
          <w:rFonts w:ascii="微软雅黑" w:hAnsi="微软雅黑" w:eastAsia="微软雅黑"/>
          <w:b w:val="0"/>
          <w:color w:val="0B1B33"/>
          <w:sz w:val="21"/>
        </w:rPr>
        <w:t>施工企业的利润，往往不是丢在报价上，而是丢在日常的“对不上”：合同、变更、结算各记一本账；材料进了场，账上还在路上；劳务考勤靠纸，工资靠回忆；检查与整改两张皮；老板看到的报表永远是三个月前的。</w:t>
      </w:r>
    </w:p>
    <w:p>
      <w:pPr>
        <w:pStyle w:val="Heading2"/>
        <w:spacing w:before="240" w:after="100"/>
      </w:pPr>
      <w:r>
        <w:rPr>
          <w:rFonts w:ascii="微软雅黑" w:hAnsi="微软雅黑" w:eastAsia="微软雅黑"/>
          <w:b/>
          <w:color w:val="1D4ED8"/>
          <w:sz w:val="24"/>
        </w:rPr>
        <w:t>2.1 五个典型断点</w:t>
      </w:r>
    </w:p>
    <w:p>
      <w:pPr>
        <w:spacing w:after="60" w:line="372" w:lineRule="auto"/>
        <w:ind w:left="360"/>
      </w:pPr>
      <w:r>
        <w:rPr>
          <w:rFonts w:ascii="微软雅黑" w:hAnsi="微软雅黑" w:eastAsia="微软雅黑"/>
          <w:b/>
          <w:color w:val="B45309"/>
          <w:sz w:val="21"/>
        </w:rPr>
        <w:t xml:space="preserve">· </w:t>
      </w:r>
      <w:r>
        <w:rPr>
          <w:rFonts w:ascii="微软雅黑" w:hAnsi="微软雅黑" w:eastAsia="微软雅黑"/>
          <w:b/>
          <w:color w:val="0B1B33"/>
          <w:sz w:val="21"/>
        </w:rPr>
        <w:t>合同、变更、结算三本账：</w:t>
      </w:r>
      <w:r>
        <w:rPr>
          <w:rFonts w:ascii="微软雅黑" w:hAnsi="微软雅黑" w:eastAsia="微软雅黑"/>
          <w:b w:val="0"/>
          <w:color w:val="5B6B83"/>
          <w:sz w:val="21"/>
        </w:rPr>
        <w:t>签证漏计、结算少算，项目做完才发现毛利对不上。</w:t>
      </w:r>
    </w:p>
    <w:p>
      <w:pPr>
        <w:spacing w:after="60" w:line="372" w:lineRule="auto"/>
        <w:ind w:left="360"/>
      </w:pPr>
      <w:r>
        <w:rPr>
          <w:rFonts w:ascii="微软雅黑" w:hAnsi="微软雅黑" w:eastAsia="微软雅黑"/>
          <w:b/>
          <w:color w:val="B45309"/>
          <w:sz w:val="21"/>
        </w:rPr>
        <w:t xml:space="preserve">· </w:t>
      </w:r>
      <w:r>
        <w:rPr>
          <w:rFonts w:ascii="微软雅黑" w:hAnsi="微软雅黑" w:eastAsia="微软雅黑"/>
          <w:b/>
          <w:color w:val="0B1B33"/>
          <w:sz w:val="21"/>
        </w:rPr>
        <w:t>材料进场与账务脱节：</w:t>
      </w:r>
      <w:r>
        <w:rPr>
          <w:rFonts w:ascii="微软雅黑" w:hAnsi="微软雅黑" w:eastAsia="微软雅黑"/>
          <w:b w:val="0"/>
          <w:color w:val="5B6B83"/>
          <w:sz w:val="21"/>
        </w:rPr>
        <w:t>验收、入库、领用不同步，库存与成本长期有差。</w:t>
      </w:r>
    </w:p>
    <w:p>
      <w:pPr>
        <w:spacing w:after="60" w:line="372" w:lineRule="auto"/>
        <w:ind w:left="360"/>
      </w:pPr>
      <w:r>
        <w:rPr>
          <w:rFonts w:ascii="微软雅黑" w:hAnsi="微软雅黑" w:eastAsia="微软雅黑"/>
          <w:b/>
          <w:color w:val="B45309"/>
          <w:sz w:val="21"/>
        </w:rPr>
        <w:t xml:space="preserve">· </w:t>
      </w:r>
      <w:r>
        <w:rPr>
          <w:rFonts w:ascii="微软雅黑" w:hAnsi="微软雅黑" w:eastAsia="微软雅黑"/>
          <w:b/>
          <w:color w:val="0B1B33"/>
          <w:sz w:val="21"/>
        </w:rPr>
        <w:t>劳务考勤与工资脱节：</w:t>
      </w:r>
      <w:r>
        <w:rPr>
          <w:rFonts w:ascii="微软雅黑" w:hAnsi="微软雅黑" w:eastAsia="微软雅黑"/>
          <w:b w:val="0"/>
          <w:color w:val="5B6B83"/>
          <w:sz w:val="21"/>
        </w:rPr>
        <w:t>人数、出勤、代发金额每次重新核，劳资争议多。</w:t>
      </w:r>
    </w:p>
    <w:p>
      <w:pPr>
        <w:spacing w:after="60" w:line="372" w:lineRule="auto"/>
        <w:ind w:left="360"/>
      </w:pPr>
      <w:r>
        <w:rPr>
          <w:rFonts w:ascii="微软雅黑" w:hAnsi="微软雅黑" w:eastAsia="微软雅黑"/>
          <w:b/>
          <w:color w:val="B45309"/>
          <w:sz w:val="21"/>
        </w:rPr>
        <w:t xml:space="preserve">· </w:t>
      </w:r>
      <w:r>
        <w:rPr>
          <w:rFonts w:ascii="微软雅黑" w:hAnsi="微软雅黑" w:eastAsia="微软雅黑"/>
          <w:b/>
          <w:color w:val="0B1B33"/>
          <w:sz w:val="21"/>
        </w:rPr>
        <w:t>检查与整改两张皮：</w:t>
      </w:r>
      <w:r>
        <w:rPr>
          <w:rFonts w:ascii="微软雅黑" w:hAnsi="微软雅黑" w:eastAsia="微软雅黑"/>
          <w:b w:val="0"/>
          <w:color w:val="5B6B83"/>
          <w:sz w:val="21"/>
        </w:rPr>
        <w:t>拍照发群，整改是否闭环无人能证，迎检时拿不出台账。</w:t>
      </w:r>
    </w:p>
    <w:p>
      <w:pPr>
        <w:spacing w:after="60" w:line="372" w:lineRule="auto"/>
        <w:ind w:left="360"/>
      </w:pPr>
      <w:r>
        <w:rPr>
          <w:rFonts w:ascii="微软雅黑" w:hAnsi="微软雅黑" w:eastAsia="微软雅黑"/>
          <w:b/>
          <w:color w:val="B45309"/>
          <w:sz w:val="21"/>
        </w:rPr>
        <w:t xml:space="preserve">· </w:t>
      </w:r>
      <w:r>
        <w:rPr>
          <w:rFonts w:ascii="微软雅黑" w:hAnsi="微软雅黑" w:eastAsia="微软雅黑"/>
          <w:b/>
          <w:color w:val="0B1B33"/>
          <w:sz w:val="21"/>
        </w:rPr>
        <w:t>经营数据滞后：</w:t>
      </w:r>
      <w:r>
        <w:rPr>
          <w:rFonts w:ascii="微软雅黑" w:hAnsi="微软雅黑" w:eastAsia="微软雅黑"/>
          <w:b w:val="0"/>
          <w:color w:val="5B6B83"/>
          <w:sz w:val="21"/>
        </w:rPr>
        <w:t>层层上报汇总完，决策窗口已经过去。</w:t>
      </w:r>
    </w:p>
    <w:p>
      <w:pPr>
        <w:pStyle w:val="Heading2"/>
        <w:spacing w:before="240" w:after="100"/>
      </w:pPr>
      <w:r>
        <w:rPr>
          <w:rFonts w:ascii="微软雅黑" w:hAnsi="微软雅黑" w:eastAsia="微软雅黑"/>
          <w:b/>
          <w:color w:val="1D4ED8"/>
          <w:sz w:val="24"/>
        </w:rPr>
        <w:t>2.2 系统的解法</w:t>
      </w:r>
    </w:p>
    <w:p>
      <w:pPr>
        <w:spacing w:before="0" w:after="120" w:line="396" w:lineRule="auto"/>
        <w:ind w:firstLine="420"/>
        <w:jc w:val="both"/>
      </w:pPr>
      <w:r>
        <w:rPr>
          <w:rFonts w:ascii="微软雅黑" w:hAnsi="微软雅黑" w:eastAsia="微软雅黑"/>
          <w:b w:val="0"/>
          <w:color w:val="0B1B33"/>
          <w:sz w:val="21"/>
        </w:rPr>
        <w:t>以「项目主档」为唯一主线，把收入、成本、支出、回款四条口径挂到同一个项目上；用 15 条跨模块联动让上下游数据在发生时就一致；用移动端与扫码让数据在发生地产生；用经营分析与数据大屏让管理层随时看到结果，并且任一数字都能点回原始单据。</w:t>
      </w:r>
    </w:p>
    <w:p>
      <w:pPr>
        <w:spacing w:before="360" w:after="160"/>
        <w:pStyle w:val="Heading1"/>
        <w:pBdr>
          <w:bottom w:val="single" w:sz="12" w:space="4" w:color="F59E0B"/>
        </w:pBdr>
      </w:pPr>
      <w:r>
        <w:rPr>
          <w:rFonts w:ascii="微软雅黑" w:hAnsi="微软雅黑" w:eastAsia="微软雅黑"/>
          <w:b/>
          <w:color w:val="0B1B33"/>
          <w:sz w:val="32"/>
        </w:rPr>
        <w:t>三　系统结构</w:t>
      </w:r>
    </w:p>
    <w:p>
      <w:pPr>
        <w:spacing w:before="0" w:after="120" w:line="396" w:lineRule="auto"/>
        <w:ind w:firstLine="420"/>
        <w:jc w:val="both"/>
      </w:pPr>
      <w:r>
        <w:rPr>
          <w:rFonts w:ascii="微软雅黑" w:hAnsi="微软雅黑" w:eastAsia="微软雅黑"/>
          <w:b w:val="0"/>
          <w:color w:val="0B1B33"/>
          <w:sz w:val="21"/>
        </w:rPr>
        <w:t>系统左侧导航按业务域分组，进入任一模块都能看到同一条项目主线上的上下游单据。下表为完整分组与规模。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061"/>
        <w:gridCol w:w="3061"/>
        <w:gridCol w:w="3061"/>
      </w:tblGrid>
      <w:tr>
        <w:tc>
          <w:tcPr>
            <w:tcW w:type="dxa" w:w="1701"/>
            <w:shd w:val="clear" w:color="auto" w:fill="0B1B33"/>
          </w:tcPr>
          <w:p>
            <w:pPr>
              <w:spacing w:before="40" w:after="40" w:line="324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color w:val="FFFFFF"/>
                <w:sz w:val="19"/>
              </w:rPr>
              <w:t>导航分组</w:t>
            </w:r>
          </w:p>
        </w:tc>
        <w:tc>
          <w:tcPr>
            <w:tcW w:type="dxa" w:w="1020"/>
            <w:shd w:val="clear" w:color="auto" w:fill="0B1B33"/>
          </w:tcPr>
          <w:p>
            <w:pPr>
              <w:spacing w:before="40" w:after="40" w:line="324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color w:val="FFFFFF"/>
                <w:sz w:val="19"/>
              </w:rPr>
              <w:t>入口数</w:t>
            </w:r>
          </w:p>
        </w:tc>
        <w:tc>
          <w:tcPr>
            <w:tcW w:type="dxa" w:w="6350"/>
            <w:shd w:val="clear" w:color="auto" w:fill="0B1B33"/>
          </w:tcPr>
          <w:p>
            <w:pPr>
              <w:spacing w:before="40" w:after="40" w:line="324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color w:val="FFFFFF"/>
                <w:sz w:val="19"/>
              </w:rPr>
              <w:t>主要内容</w:t>
            </w:r>
          </w:p>
        </w:tc>
      </w:tr>
      <w:tr>
        <w:tc>
          <w:tcPr>
            <w:tcW w:type="dxa" w:w="1701"/>
          </w:tcPr>
          <w:p>
            <w:pPr>
              <w:spacing w:before="40" w:after="40" w:line="324" w:lineRule="auto"/>
              <w:jc w:val="left"/>
            </w:pPr>
            <w:r/>
            <w:r>
              <w:rPr>
                <w:rFonts w:ascii="微软雅黑" w:hAnsi="微软雅黑" w:eastAsia="微软雅黑"/>
                <w:b/>
                <w:color w:val="0B1B33"/>
                <w:sz w:val="19"/>
              </w:rPr>
              <w:t>总览</w:t>
            </w:r>
          </w:p>
        </w:tc>
        <w:tc>
          <w:tcPr>
            <w:tcW w:type="dxa" w:w="1020"/>
          </w:tcPr>
          <w:p>
            <w:pPr>
              <w:spacing w:before="40" w:after="40" w:line="324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color w:val="0B1B33"/>
                <w:sz w:val="19"/>
              </w:rPr>
              <w:t>5</w:t>
            </w:r>
          </w:p>
        </w:tc>
        <w:tc>
          <w:tcPr>
            <w:tcW w:type="dxa" w:w="6350"/>
          </w:tcPr>
          <w:p>
            <w:pPr>
              <w:spacing w:before="40" w:after="40" w:line="324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color w:val="0B1B33"/>
                <w:sz w:val="19"/>
              </w:rPr>
              <w:t>工作台、经营分析、数据大屏、待办审批、消息中心</w:t>
            </w:r>
          </w:p>
        </w:tc>
      </w:tr>
      <w:tr>
        <w:tc>
          <w:tcPr>
            <w:tcW w:type="dxa" w:w="1701"/>
            <w:shd w:val="clear" w:color="auto" w:fill="F5F8FD"/>
          </w:tcPr>
          <w:p>
            <w:pPr>
              <w:spacing w:before="40" w:after="40" w:line="324" w:lineRule="auto"/>
              <w:jc w:val="left"/>
            </w:pPr>
            <w:r/>
            <w:r>
              <w:rPr>
                <w:rFonts w:ascii="微软雅黑" w:hAnsi="微软雅黑" w:eastAsia="微软雅黑"/>
                <w:b/>
                <w:color w:val="0B1B33"/>
                <w:sz w:val="19"/>
              </w:rPr>
              <w:t>项目经营</w:t>
            </w:r>
          </w:p>
        </w:tc>
        <w:tc>
          <w:tcPr>
            <w:tcW w:type="dxa" w:w="1020"/>
            <w:shd w:val="clear" w:color="auto" w:fill="F5F8FD"/>
          </w:tcPr>
          <w:p>
            <w:pPr>
              <w:spacing w:before="40" w:after="40" w:line="324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color w:val="0B1B33"/>
                <w:sz w:val="19"/>
              </w:rPr>
              <w:t>13</w:t>
            </w:r>
          </w:p>
        </w:tc>
        <w:tc>
          <w:tcPr>
            <w:tcW w:type="dxa" w:w="6350"/>
            <w:shd w:val="clear" w:color="auto" w:fill="F5F8FD"/>
          </w:tcPr>
          <w:p>
            <w:pPr>
              <w:spacing w:before="40" w:after="40" w:line="324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color w:val="0B1B33"/>
                <w:sz w:val="19"/>
              </w:rPr>
              <w:t>项目分析、潜在项目、项目台账、甲方合同、变更签证、项目结算、进度计划与填报、项目文档、施工组织、图纸会审、技术交底、项目维保</w:t>
            </w:r>
          </w:p>
        </w:tc>
      </w:tr>
      <w:tr>
        <w:tc>
          <w:tcPr>
            <w:tcW w:type="dxa" w:w="1701"/>
          </w:tcPr>
          <w:p>
            <w:pPr>
              <w:spacing w:before="40" w:after="40" w:line="324" w:lineRule="auto"/>
              <w:jc w:val="left"/>
            </w:pPr>
            <w:r/>
            <w:r>
              <w:rPr>
                <w:rFonts w:ascii="微软雅黑" w:hAnsi="微软雅黑" w:eastAsia="微软雅黑"/>
                <w:b/>
                <w:color w:val="0B1B33"/>
                <w:sz w:val="19"/>
              </w:rPr>
              <w:t>分包与劳务</w:t>
            </w:r>
          </w:p>
        </w:tc>
        <w:tc>
          <w:tcPr>
            <w:tcW w:type="dxa" w:w="1020"/>
          </w:tcPr>
          <w:p>
            <w:pPr>
              <w:spacing w:before="40" w:after="40" w:line="324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color w:val="0B1B33"/>
                <w:sz w:val="19"/>
              </w:rPr>
              <w:t>13</w:t>
            </w:r>
          </w:p>
        </w:tc>
        <w:tc>
          <w:tcPr>
            <w:tcW w:type="dxa" w:w="6350"/>
          </w:tcPr>
          <w:p>
            <w:pPr>
              <w:spacing w:before="40" w:after="40" w:line="324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color w:val="0B1B33"/>
                <w:sz w:val="19"/>
              </w:rPr>
              <w:t>分包劳务分析、分包合同、分包结算、分包付款、劳务合同、劳务结算、劳务班组、入场登记、人员库、培训与交底、考勤记录、工资核算、银行代发</w:t>
            </w:r>
          </w:p>
        </w:tc>
      </w:tr>
      <w:tr>
        <w:tc>
          <w:tcPr>
            <w:tcW w:type="dxa" w:w="1701"/>
            <w:shd w:val="clear" w:color="auto" w:fill="F5F8FD"/>
          </w:tcPr>
          <w:p>
            <w:pPr>
              <w:spacing w:before="40" w:after="40" w:line="324" w:lineRule="auto"/>
              <w:jc w:val="left"/>
            </w:pPr>
            <w:r/>
            <w:r>
              <w:rPr>
                <w:rFonts w:ascii="微软雅黑" w:hAnsi="微软雅黑" w:eastAsia="微软雅黑"/>
                <w:b/>
                <w:color w:val="0B1B33"/>
                <w:sz w:val="19"/>
              </w:rPr>
              <w:t>物资与设备</w:t>
            </w:r>
          </w:p>
        </w:tc>
        <w:tc>
          <w:tcPr>
            <w:tcW w:type="dxa" w:w="1020"/>
            <w:shd w:val="clear" w:color="auto" w:fill="F5F8FD"/>
          </w:tcPr>
          <w:p>
            <w:pPr>
              <w:spacing w:before="40" w:after="40" w:line="324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color w:val="0B1B33"/>
                <w:sz w:val="19"/>
              </w:rPr>
              <w:t>22</w:t>
            </w:r>
          </w:p>
        </w:tc>
        <w:tc>
          <w:tcPr>
            <w:tcW w:type="dxa" w:w="6350"/>
            <w:shd w:val="clear" w:color="auto" w:fill="F5F8FD"/>
          </w:tcPr>
          <w:p>
            <w:pPr>
              <w:spacing w:before="40" w:after="40" w:line="324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color w:val="0B1B33"/>
                <w:sz w:val="19"/>
              </w:rPr>
              <w:t>物资设备分析、物资目录、物资分类、仓库设置、计量单位、需用计划、采购计划、采购订单、采购合同、供应商评价、现场验收、入库、出库、库存台账、盘点、退换记录、设备台账、进出场、维修保养、设备检查、设备租赁、租赁合同</w:t>
            </w:r>
          </w:p>
        </w:tc>
      </w:tr>
      <w:tr>
        <w:tc>
          <w:tcPr>
            <w:tcW w:type="dxa" w:w="1701"/>
          </w:tcPr>
          <w:p>
            <w:pPr>
              <w:spacing w:before="40" w:after="40" w:line="324" w:lineRule="auto"/>
              <w:jc w:val="left"/>
            </w:pPr>
            <w:r/>
            <w:r>
              <w:rPr>
                <w:rFonts w:ascii="微软雅黑" w:hAnsi="微软雅黑" w:eastAsia="微软雅黑"/>
                <w:b/>
                <w:color w:val="0B1B33"/>
                <w:sz w:val="19"/>
              </w:rPr>
              <w:t>现场与质安</w:t>
            </w:r>
          </w:p>
        </w:tc>
        <w:tc>
          <w:tcPr>
            <w:tcW w:type="dxa" w:w="1020"/>
          </w:tcPr>
          <w:p>
            <w:pPr>
              <w:spacing w:before="40" w:after="40" w:line="324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color w:val="0B1B33"/>
                <w:sz w:val="19"/>
              </w:rPr>
              <w:t>6</w:t>
            </w:r>
          </w:p>
        </w:tc>
        <w:tc>
          <w:tcPr>
            <w:tcW w:type="dxa" w:w="6350"/>
          </w:tcPr>
          <w:p>
            <w:pPr>
              <w:spacing w:before="40" w:after="40" w:line="324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color w:val="0B1B33"/>
                <w:sz w:val="19"/>
              </w:rPr>
              <w:t>现场质安分析、施工日志、质量检查、安全检查、整改单、目标责任书</w:t>
            </w:r>
          </w:p>
        </w:tc>
      </w:tr>
      <w:tr>
        <w:tc>
          <w:tcPr>
            <w:tcW w:type="dxa" w:w="1701"/>
            <w:shd w:val="clear" w:color="auto" w:fill="F5F8FD"/>
          </w:tcPr>
          <w:p>
            <w:pPr>
              <w:spacing w:before="40" w:after="40" w:line="324" w:lineRule="auto"/>
              <w:jc w:val="left"/>
            </w:pPr>
            <w:r/>
            <w:r>
              <w:rPr>
                <w:rFonts w:ascii="微软雅黑" w:hAnsi="微软雅黑" w:eastAsia="微软雅黑"/>
                <w:b/>
                <w:color w:val="0B1B33"/>
                <w:sz w:val="19"/>
              </w:rPr>
              <w:t>资金与成本</w:t>
            </w:r>
          </w:p>
        </w:tc>
        <w:tc>
          <w:tcPr>
            <w:tcW w:type="dxa" w:w="1020"/>
            <w:shd w:val="clear" w:color="auto" w:fill="F5F8FD"/>
          </w:tcPr>
          <w:p>
            <w:pPr>
              <w:spacing w:before="40" w:after="40" w:line="324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color w:val="0B1B33"/>
                <w:sz w:val="19"/>
              </w:rPr>
              <w:t>9</w:t>
            </w:r>
          </w:p>
        </w:tc>
        <w:tc>
          <w:tcPr>
            <w:tcW w:type="dxa" w:w="6350"/>
            <w:shd w:val="clear" w:color="auto" w:fill="F5F8FD"/>
          </w:tcPr>
          <w:p>
            <w:pPr>
              <w:spacing w:before="40" w:after="40" w:line="324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color w:val="0B1B33"/>
                <w:sz w:val="19"/>
              </w:rPr>
              <w:t>资金成本分析、目标成本、成本对比、项目收款、项目发票、付款中心、资金计划、费用报销、我的费用</w:t>
            </w:r>
          </w:p>
        </w:tc>
      </w:tr>
      <w:tr>
        <w:tc>
          <w:tcPr>
            <w:tcW w:type="dxa" w:w="1701"/>
          </w:tcPr>
          <w:p>
            <w:pPr>
              <w:spacing w:before="40" w:after="40" w:line="324" w:lineRule="auto"/>
              <w:jc w:val="left"/>
            </w:pPr>
            <w:r/>
            <w:r>
              <w:rPr>
                <w:rFonts w:ascii="微软雅黑" w:hAnsi="微软雅黑" w:eastAsia="微软雅黑"/>
                <w:b/>
                <w:color w:val="0B1B33"/>
                <w:sz w:val="19"/>
              </w:rPr>
              <w:t>报表中心</w:t>
            </w:r>
          </w:p>
        </w:tc>
        <w:tc>
          <w:tcPr>
            <w:tcW w:type="dxa" w:w="1020"/>
          </w:tcPr>
          <w:p>
            <w:pPr>
              <w:spacing w:before="40" w:after="40" w:line="324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color w:val="0B1B33"/>
                <w:sz w:val="19"/>
              </w:rPr>
              <w:t>3</w:t>
            </w:r>
          </w:p>
        </w:tc>
        <w:tc>
          <w:tcPr>
            <w:tcW w:type="dxa" w:w="6350"/>
          </w:tcPr>
          <w:p>
            <w:pPr>
              <w:spacing w:before="40" w:after="40" w:line="324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color w:val="0B1B33"/>
                <w:sz w:val="19"/>
              </w:rPr>
              <w:t>固定报表、看板配置器、全局检索</w:t>
            </w:r>
          </w:p>
        </w:tc>
      </w:tr>
      <w:tr>
        <w:tc>
          <w:tcPr>
            <w:tcW w:type="dxa" w:w="1701"/>
            <w:shd w:val="clear" w:color="auto" w:fill="F5F8FD"/>
          </w:tcPr>
          <w:p>
            <w:pPr>
              <w:spacing w:before="40" w:after="40" w:line="324" w:lineRule="auto"/>
              <w:jc w:val="left"/>
            </w:pPr>
            <w:r/>
            <w:r>
              <w:rPr>
                <w:rFonts w:ascii="微软雅黑" w:hAnsi="微软雅黑" w:eastAsia="微软雅黑"/>
                <w:b/>
                <w:color w:val="0B1B33"/>
                <w:sz w:val="19"/>
              </w:rPr>
              <w:t>系统设置</w:t>
            </w:r>
          </w:p>
        </w:tc>
        <w:tc>
          <w:tcPr>
            <w:tcW w:type="dxa" w:w="1020"/>
            <w:shd w:val="clear" w:color="auto" w:fill="F5F8FD"/>
          </w:tcPr>
          <w:p>
            <w:pPr>
              <w:spacing w:before="40" w:after="40" w:line="324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color w:val="0B1B33"/>
                <w:sz w:val="19"/>
              </w:rPr>
              <w:t>13</w:t>
            </w:r>
          </w:p>
        </w:tc>
        <w:tc>
          <w:tcPr>
            <w:tcW w:type="dxa" w:w="6350"/>
            <w:shd w:val="clear" w:color="auto" w:fill="F5F8FD"/>
          </w:tcPr>
          <w:p>
            <w:pPr>
              <w:spacing w:before="40" w:after="40" w:line="324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color w:val="0B1B33"/>
                <w:sz w:val="19"/>
              </w:rPr>
              <w:t>设置中心、成员管理、角色权限、权限矩阵、数据权限项目集、部门设置、合作方档案、外部联系人、数据字典管理、预警中心、扫码记录、事件队列、操作日志</w:t>
            </w:r>
          </w:p>
        </w:tc>
      </w:tr>
    </w:tbl>
    <w:p>
      <w:pPr>
        <w:spacing w:after="40"/>
      </w:pPr>
    </w:p>
    <w:p>
      <w:pPr>
        <w:spacing w:before="360" w:after="160"/>
        <w:pStyle w:val="Heading1"/>
        <w:pBdr>
          <w:bottom w:val="single" w:sz="12" w:space="4" w:color="F59E0B"/>
        </w:pBdr>
      </w:pPr>
      <w:r>
        <w:rPr>
          <w:rFonts w:ascii="微软雅黑" w:hAnsi="微软雅黑" w:eastAsia="微软雅黑"/>
          <w:b/>
          <w:color w:val="0B1B33"/>
          <w:sz w:val="32"/>
        </w:rPr>
        <w:t>四　六大业务域详解</w:t>
      </w:r>
    </w:p>
    <w:p>
      <w:pPr>
        <w:pStyle w:val="Heading2"/>
        <w:spacing w:before="240" w:after="100"/>
      </w:pPr>
      <w:r>
        <w:rPr>
          <w:rFonts w:ascii="微软雅黑" w:hAnsi="微软雅黑" w:eastAsia="微软雅黑"/>
          <w:b/>
          <w:color w:val="1D4ED8"/>
          <w:sz w:val="24"/>
        </w:rPr>
        <w:t>4.1 总览 · 经营驾驶舱</w:t>
      </w:r>
    </w:p>
    <w:p>
      <w:pPr>
        <w:spacing w:before="0" w:after="120" w:line="396" w:lineRule="auto"/>
        <w:ind w:firstLine="420"/>
        <w:jc w:val="both"/>
      </w:pPr>
      <w:r>
        <w:rPr>
          <w:rFonts w:ascii="微软雅黑" w:hAnsi="微软雅黑" w:eastAsia="微软雅黑"/>
          <w:b w:val="0"/>
          <w:color w:val="0B1B33"/>
          <w:sz w:val="21"/>
        </w:rPr>
        <w:t>进入系统第一屏：今天要批什么、哪个项目出问题、公司这个月赚了多少。工作台按角色自动组装，老板与项目经理看到的首页不同；经营分析 6 大分析域可逐层下钻；数据大屏用于投屏开会；待办审批与消息中心把跨模块的审批与提醒收在一个入口。</w:t>
      </w:r>
    </w:p>
    <w:p>
      <w:pPr>
        <w:pStyle w:val="Heading2"/>
        <w:spacing w:before="240" w:after="100"/>
      </w:pPr>
      <w:r>
        <w:rPr>
          <w:rFonts w:ascii="微软雅黑" w:hAnsi="微软雅黑" w:eastAsia="微软雅黑"/>
          <w:b/>
          <w:color w:val="1D4ED8"/>
          <w:sz w:val="24"/>
        </w:rPr>
        <w:t>4.2 项目经营</w:t>
      </w:r>
    </w:p>
    <w:p>
      <w:pPr>
        <w:spacing w:before="0" w:after="120" w:line="396" w:lineRule="auto"/>
        <w:ind w:firstLine="420"/>
        <w:jc w:val="both"/>
      </w:pPr>
      <w:r>
        <w:rPr>
          <w:rFonts w:ascii="微软雅黑" w:hAnsi="微软雅黑" w:eastAsia="微软雅黑"/>
          <w:b w:val="0"/>
          <w:color w:val="0B1B33"/>
          <w:sz w:val="21"/>
        </w:rPr>
        <w:t>收入侧从立项走到维保。项目台账是全系统项目维度数据的根，项目编号贯穿合同、结算、成本、物资、劳务与报表；甲方合同带出结算上限、收款计划与开票要求；变更签证批准后自动进入结算可报量；项目结算关联合同与签证，生成应收与开票依据；进度计划与填报形成偏差并支撑产值统计；施工组织、图纸会审、技术交底与项目文档按项目归档；项目维保支撑质保金释放。</w:t>
      </w:r>
    </w:p>
    <w:p>
      <w:pPr>
        <w:pStyle w:val="Heading2"/>
        <w:spacing w:before="240" w:after="100"/>
      </w:pPr>
      <w:r>
        <w:rPr>
          <w:rFonts w:ascii="微软雅黑" w:hAnsi="微软雅黑" w:eastAsia="微软雅黑"/>
          <w:b/>
          <w:color w:val="1D4ED8"/>
          <w:sz w:val="24"/>
        </w:rPr>
        <w:t>4.3 分包与劳务</w:t>
      </w:r>
    </w:p>
    <w:p>
      <w:pPr>
        <w:spacing w:before="0" w:after="120" w:line="396" w:lineRule="auto"/>
        <w:ind w:firstLine="420"/>
        <w:jc w:val="both"/>
      </w:pPr>
      <w:r>
        <w:rPr>
          <w:rFonts w:ascii="微软雅黑" w:hAnsi="微软雅黑" w:eastAsia="微软雅黑"/>
          <w:b w:val="0"/>
          <w:color w:val="0B1B33"/>
          <w:sz w:val="21"/>
        </w:rPr>
        <w:t>支出侧一条链：分包合同 → 分包结算 → 分包付款；劳务合同 → 劳务班组 → 入场登记 → 考勤 → 工资核算 → 银行代发。结算受合同范围与单价约束，付款受结算金额与比例约束，超付直接拦截；人员库全公司复用，安全教育未完成可限制入场；考勤按日汇总自动生成工资表，代发批次与回单归档。</w:t>
      </w:r>
    </w:p>
    <w:p>
      <w:pPr>
        <w:pStyle w:val="Heading2"/>
        <w:spacing w:before="240" w:after="100"/>
      </w:pPr>
      <w:r>
        <w:rPr>
          <w:rFonts w:ascii="微软雅黑" w:hAnsi="微软雅黑" w:eastAsia="微软雅黑"/>
          <w:b/>
          <w:color w:val="1D4ED8"/>
          <w:sz w:val="24"/>
        </w:rPr>
        <w:t>4.4 物资与设备</w:t>
      </w:r>
    </w:p>
    <w:p>
      <w:pPr>
        <w:spacing w:before="0" w:after="120" w:line="396" w:lineRule="auto"/>
        <w:ind w:firstLine="420"/>
        <w:jc w:val="both"/>
      </w:pPr>
      <w:r>
        <w:rPr>
          <w:rFonts w:ascii="微软雅黑" w:hAnsi="微软雅黑" w:eastAsia="微软雅黑"/>
          <w:b w:val="0"/>
          <w:color w:val="0B1B33"/>
          <w:sz w:val="21"/>
        </w:rPr>
        <w:t>实物账与金额账同步：需用计划 → 采购计划 → 采购订单 → 现场验收 → 物资入库 → 班组领用 → 库存盘点。验收合格自动生成入库单，入库金额按项目与科目进入实际成本；出库选择班组与部位，领用数据成为材料成本归集与超耗分析依据；物资贴码后可用手机完成收料、领用与盘点。设备另有一条台账线：台账、进出场、维修保养、检查、租赁与租赁合同，自有与租赁统一管理。</w:t>
      </w:r>
    </w:p>
    <w:p>
      <w:pPr>
        <w:pStyle w:val="Heading2"/>
        <w:spacing w:before="240" w:after="100"/>
      </w:pPr>
      <w:r>
        <w:rPr>
          <w:rFonts w:ascii="微软雅黑" w:hAnsi="微软雅黑" w:eastAsia="微软雅黑"/>
          <w:b/>
          <w:color w:val="1D4ED8"/>
          <w:sz w:val="24"/>
        </w:rPr>
        <w:t>4.5 现场与质安</w:t>
      </w:r>
    </w:p>
    <w:p>
      <w:pPr>
        <w:spacing w:before="0" w:after="120" w:line="396" w:lineRule="auto"/>
        <w:ind w:firstLine="420"/>
        <w:jc w:val="both"/>
      </w:pPr>
      <w:r>
        <w:rPr>
          <w:rFonts w:ascii="微软雅黑" w:hAnsi="微软雅黑" w:eastAsia="微软雅黑"/>
          <w:b w:val="0"/>
          <w:color w:val="0B1B33"/>
          <w:sz w:val="21"/>
        </w:rPr>
        <w:t>现场发生的事当场留痕：施工日志移动端填报，自动汇总项目日报；质量检查与安全检查按模板逐项记录并拍照；不合格自动生成整改单并派发责任人，复查通过才闭环，超期进入预警；目标责任书把指标落到人与岗位。迎检、追责、复盘都能调出原始记录。</w:t>
      </w:r>
    </w:p>
    <w:p>
      <w:pPr>
        <w:pStyle w:val="Heading2"/>
        <w:spacing w:before="240" w:after="100"/>
      </w:pPr>
      <w:r>
        <w:rPr>
          <w:rFonts w:ascii="微软雅黑" w:hAnsi="微软雅黑" w:eastAsia="微软雅黑"/>
          <w:b/>
          <w:color w:val="1D4ED8"/>
          <w:sz w:val="24"/>
        </w:rPr>
        <w:t>4.6 资金与成本</w:t>
      </w:r>
    </w:p>
    <w:p>
      <w:pPr>
        <w:spacing w:before="0" w:after="120" w:line="396" w:lineRule="auto"/>
        <w:ind w:firstLine="420"/>
        <w:jc w:val="both"/>
      </w:pPr>
      <w:r>
        <w:rPr>
          <w:rFonts w:ascii="微软雅黑" w:hAnsi="微软雅黑" w:eastAsia="微软雅黑"/>
          <w:b w:val="0"/>
          <w:color w:val="0B1B33"/>
          <w:sz w:val="21"/>
        </w:rPr>
        <w:t>项目赚不赚钱、钱在哪、什么时候到，三个问题一张表回答。目标成本按科目编制，作为成本对比基线；实际成本来自物资、分包、劳务与费用，按科目自动对比并输出偏差率；项目收款与项目发票双向勾稽，形成账龄；付款中心统一各类付款；资金计划按期间与项目汇总预计收付与缺口；费用报销按项目/部门归集进成本。</w:t>
      </w:r>
    </w:p>
    <w:p>
      <w:pPr>
        <w:spacing w:before="360" w:after="160"/>
        <w:pStyle w:val="Heading1"/>
        <w:pBdr>
          <w:bottom w:val="single" w:sz="12" w:space="4" w:color="F59E0B"/>
        </w:pBdr>
      </w:pPr>
      <w:r>
        <w:rPr>
          <w:rFonts w:ascii="微软雅黑" w:hAnsi="微软雅黑" w:eastAsia="微软雅黑"/>
          <w:b/>
          <w:color w:val="0B1B33"/>
          <w:sz w:val="32"/>
        </w:rPr>
        <w:t>五　15 条跨模块联动</w:t>
      </w:r>
    </w:p>
    <w:p>
      <w:pPr>
        <w:spacing w:before="0" w:after="120" w:line="396" w:lineRule="auto"/>
        <w:ind w:firstLine="420"/>
        <w:jc w:val="both"/>
      </w:pPr>
      <w:r>
        <w:rPr>
          <w:rFonts w:ascii="微软雅黑" w:hAnsi="微软雅黑" w:eastAsia="微软雅黑"/>
          <w:b w:val="0"/>
          <w:color w:val="0B1B33"/>
          <w:sz w:val="21"/>
        </w:rPr>
        <w:t>联动的意义不是“自动填表”，而是让上下游口径在发生时就一致。以下 15 条为系统内置规则，可在实施时按企业习惯调整触发条件。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061"/>
        <w:gridCol w:w="3061"/>
        <w:gridCol w:w="3061"/>
      </w:tblGrid>
      <w:tr>
        <w:tc>
          <w:tcPr>
            <w:tcW w:type="dxa" w:w="680"/>
            <w:shd w:val="clear" w:color="auto" w:fill="0B1B33"/>
          </w:tcPr>
          <w:p>
            <w:pPr>
              <w:spacing w:before="40" w:after="40" w:line="324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color w:val="FFFFFF"/>
                <w:sz w:val="19"/>
              </w:rPr>
              <w:t>#</w:t>
            </w:r>
          </w:p>
        </w:tc>
        <w:tc>
          <w:tcPr>
            <w:tcW w:type="dxa" w:w="2721"/>
            <w:shd w:val="clear" w:color="auto" w:fill="0B1B33"/>
          </w:tcPr>
          <w:p>
            <w:pPr>
              <w:spacing w:before="40" w:after="40" w:line="324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color w:val="FFFFFF"/>
                <w:sz w:val="19"/>
              </w:rPr>
              <w:t>联动链路</w:t>
            </w:r>
          </w:p>
        </w:tc>
        <w:tc>
          <w:tcPr>
            <w:tcW w:type="dxa" w:w="5669"/>
            <w:shd w:val="clear" w:color="auto" w:fill="0B1B33"/>
          </w:tcPr>
          <w:p>
            <w:pPr>
              <w:spacing w:before="40" w:after="40" w:line="324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color w:val="FFFFFF"/>
                <w:sz w:val="19"/>
              </w:rPr>
              <w:t>触发条件与动作</w:t>
            </w:r>
          </w:p>
        </w:tc>
      </w:tr>
      <w:tr>
        <w:tc>
          <w:tcPr>
            <w:tcW w:type="dxa" w:w="680"/>
          </w:tcPr>
          <w:p>
            <w:pPr>
              <w:spacing w:before="40" w:after="40" w:line="324" w:lineRule="auto"/>
              <w:jc w:val="left"/>
            </w:pPr>
            <w:r/>
            <w:r>
              <w:rPr>
                <w:rFonts w:ascii="微软雅黑" w:hAnsi="微软雅黑" w:eastAsia="微软雅黑"/>
                <w:b/>
                <w:color w:val="0B1B33"/>
                <w:sz w:val="19"/>
              </w:rPr>
              <w:t>01</w:t>
            </w:r>
          </w:p>
        </w:tc>
        <w:tc>
          <w:tcPr>
            <w:tcW w:type="dxa" w:w="2721"/>
          </w:tcPr>
          <w:p>
            <w:pPr>
              <w:spacing w:before="40" w:after="40" w:line="324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color w:val="0B1B33"/>
                <w:sz w:val="19"/>
              </w:rPr>
              <w:t>甲方合同 → 项目结算</w:t>
            </w:r>
          </w:p>
        </w:tc>
        <w:tc>
          <w:tcPr>
            <w:tcW w:type="dxa" w:w="5669"/>
          </w:tcPr>
          <w:p>
            <w:pPr>
              <w:spacing w:before="40" w:after="40" w:line="324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color w:val="0B1B33"/>
                <w:sz w:val="19"/>
              </w:rPr>
              <w:t>合同审批通过或金额变更时，结算可报量上限同步更新，结算单显示合同余量。</w:t>
            </w:r>
          </w:p>
        </w:tc>
      </w:tr>
      <w:tr>
        <w:tc>
          <w:tcPr>
            <w:tcW w:type="dxa" w:w="680"/>
            <w:shd w:val="clear" w:color="auto" w:fill="F5F8FD"/>
          </w:tcPr>
          <w:p>
            <w:pPr>
              <w:spacing w:before="40" w:after="40" w:line="324" w:lineRule="auto"/>
              <w:jc w:val="left"/>
            </w:pPr>
            <w:r/>
            <w:r>
              <w:rPr>
                <w:rFonts w:ascii="微软雅黑" w:hAnsi="微软雅黑" w:eastAsia="微软雅黑"/>
                <w:b/>
                <w:color w:val="0B1B33"/>
                <w:sz w:val="19"/>
              </w:rPr>
              <w:t>02</w:t>
            </w:r>
          </w:p>
        </w:tc>
        <w:tc>
          <w:tcPr>
            <w:tcW w:type="dxa" w:w="2721"/>
            <w:shd w:val="clear" w:color="auto" w:fill="F5F8FD"/>
          </w:tcPr>
          <w:p>
            <w:pPr>
              <w:spacing w:before="40" w:after="40" w:line="324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color w:val="0B1B33"/>
                <w:sz w:val="19"/>
              </w:rPr>
              <w:t>变更签证 → 项目结算</w:t>
            </w:r>
          </w:p>
        </w:tc>
        <w:tc>
          <w:tcPr>
            <w:tcW w:type="dxa" w:w="5669"/>
            <w:shd w:val="clear" w:color="auto" w:fill="F5F8FD"/>
          </w:tcPr>
          <w:p>
            <w:pPr>
              <w:spacing w:before="40" w:after="40" w:line="324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color w:val="0B1B33"/>
                <w:sz w:val="19"/>
              </w:rPr>
              <w:t>签证批准后进入当期结算可报量；未批签证单独列示，避免漏报。</w:t>
            </w:r>
          </w:p>
        </w:tc>
      </w:tr>
      <w:tr>
        <w:tc>
          <w:tcPr>
            <w:tcW w:type="dxa" w:w="680"/>
          </w:tcPr>
          <w:p>
            <w:pPr>
              <w:spacing w:before="40" w:after="40" w:line="324" w:lineRule="auto"/>
              <w:jc w:val="left"/>
            </w:pPr>
            <w:r/>
            <w:r>
              <w:rPr>
                <w:rFonts w:ascii="微软雅黑" w:hAnsi="微软雅黑" w:eastAsia="微软雅黑"/>
                <w:b/>
                <w:color w:val="0B1B33"/>
                <w:sz w:val="19"/>
              </w:rPr>
              <w:t>03</w:t>
            </w:r>
          </w:p>
        </w:tc>
        <w:tc>
          <w:tcPr>
            <w:tcW w:type="dxa" w:w="2721"/>
          </w:tcPr>
          <w:p>
            <w:pPr>
              <w:spacing w:before="40" w:after="40" w:line="324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color w:val="0B1B33"/>
                <w:sz w:val="19"/>
              </w:rPr>
              <w:t>项目结算 → 项目收款</w:t>
            </w:r>
          </w:p>
        </w:tc>
        <w:tc>
          <w:tcPr>
            <w:tcW w:type="dxa" w:w="5669"/>
          </w:tcPr>
          <w:p>
            <w:pPr>
              <w:spacing w:before="40" w:after="40" w:line="324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color w:val="0B1B33"/>
                <w:sz w:val="19"/>
              </w:rPr>
              <w:t>结算确认后按付款条款生成应收与收款计划，收款页展示未收金额与账龄。</w:t>
            </w:r>
          </w:p>
        </w:tc>
      </w:tr>
      <w:tr>
        <w:tc>
          <w:tcPr>
            <w:tcW w:type="dxa" w:w="680"/>
            <w:shd w:val="clear" w:color="auto" w:fill="F5F8FD"/>
          </w:tcPr>
          <w:p>
            <w:pPr>
              <w:spacing w:before="40" w:after="40" w:line="324" w:lineRule="auto"/>
              <w:jc w:val="left"/>
            </w:pPr>
            <w:r/>
            <w:r>
              <w:rPr>
                <w:rFonts w:ascii="微软雅黑" w:hAnsi="微软雅黑" w:eastAsia="微软雅黑"/>
                <w:b/>
                <w:color w:val="0B1B33"/>
                <w:sz w:val="19"/>
              </w:rPr>
              <w:t>04</w:t>
            </w:r>
          </w:p>
        </w:tc>
        <w:tc>
          <w:tcPr>
            <w:tcW w:type="dxa" w:w="2721"/>
            <w:shd w:val="clear" w:color="auto" w:fill="F5F8FD"/>
          </w:tcPr>
          <w:p>
            <w:pPr>
              <w:spacing w:before="40" w:after="40" w:line="324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color w:val="0B1B33"/>
                <w:sz w:val="19"/>
              </w:rPr>
              <w:t>项目收款 → 项目发票</w:t>
            </w:r>
          </w:p>
        </w:tc>
        <w:tc>
          <w:tcPr>
            <w:tcW w:type="dxa" w:w="5669"/>
            <w:shd w:val="clear" w:color="auto" w:fill="F5F8FD"/>
          </w:tcPr>
          <w:p>
            <w:pPr>
              <w:spacing w:before="40" w:after="40" w:line="324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color w:val="0B1B33"/>
                <w:sz w:val="19"/>
              </w:rPr>
              <w:t>收款可勾稽已有发票，发票可回写收款核销，双向防漏开重开。</w:t>
            </w:r>
          </w:p>
        </w:tc>
      </w:tr>
      <w:tr>
        <w:tc>
          <w:tcPr>
            <w:tcW w:type="dxa" w:w="680"/>
          </w:tcPr>
          <w:p>
            <w:pPr>
              <w:spacing w:before="40" w:after="40" w:line="324" w:lineRule="auto"/>
              <w:jc w:val="left"/>
            </w:pPr>
            <w:r/>
            <w:r>
              <w:rPr>
                <w:rFonts w:ascii="微软雅黑" w:hAnsi="微软雅黑" w:eastAsia="微软雅黑"/>
                <w:b/>
                <w:color w:val="0B1B33"/>
                <w:sz w:val="19"/>
              </w:rPr>
              <w:t>05</w:t>
            </w:r>
          </w:p>
        </w:tc>
        <w:tc>
          <w:tcPr>
            <w:tcW w:type="dxa" w:w="2721"/>
          </w:tcPr>
          <w:p>
            <w:pPr>
              <w:spacing w:before="40" w:after="40" w:line="324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color w:val="0B1B33"/>
                <w:sz w:val="19"/>
              </w:rPr>
              <w:t>需用计划 → 采购订单</w:t>
            </w:r>
          </w:p>
        </w:tc>
        <w:tc>
          <w:tcPr>
            <w:tcW w:type="dxa" w:w="5669"/>
          </w:tcPr>
          <w:p>
            <w:pPr>
              <w:spacing w:before="40" w:after="40" w:line="324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color w:val="0B1B33"/>
                <w:sz w:val="19"/>
              </w:rPr>
              <w:t>需用汇总后按缺口生成采购建议，带出参考价与历史供应商。</w:t>
            </w:r>
          </w:p>
        </w:tc>
      </w:tr>
      <w:tr>
        <w:tc>
          <w:tcPr>
            <w:tcW w:type="dxa" w:w="680"/>
            <w:shd w:val="clear" w:color="auto" w:fill="F5F8FD"/>
          </w:tcPr>
          <w:p>
            <w:pPr>
              <w:spacing w:before="40" w:after="40" w:line="324" w:lineRule="auto"/>
              <w:jc w:val="left"/>
            </w:pPr>
            <w:r/>
            <w:r>
              <w:rPr>
                <w:rFonts w:ascii="微软雅黑" w:hAnsi="微软雅黑" w:eastAsia="微软雅黑"/>
                <w:b/>
                <w:color w:val="0B1B33"/>
                <w:sz w:val="19"/>
              </w:rPr>
              <w:t>06</w:t>
            </w:r>
          </w:p>
        </w:tc>
        <w:tc>
          <w:tcPr>
            <w:tcW w:type="dxa" w:w="2721"/>
            <w:shd w:val="clear" w:color="auto" w:fill="F5F8FD"/>
          </w:tcPr>
          <w:p>
            <w:pPr>
              <w:spacing w:before="40" w:after="40" w:line="324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color w:val="0B1B33"/>
                <w:sz w:val="19"/>
              </w:rPr>
              <w:t>采购订单 → 现场验收</w:t>
            </w:r>
          </w:p>
        </w:tc>
        <w:tc>
          <w:tcPr>
            <w:tcW w:type="dxa" w:w="5669"/>
            <w:shd w:val="clear" w:color="auto" w:fill="F5F8FD"/>
          </w:tcPr>
          <w:p>
            <w:pPr>
              <w:spacing w:before="40" w:after="40" w:line="324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color w:val="0B1B33"/>
                <w:sz w:val="19"/>
              </w:rPr>
              <w:t>到货登记即生成待验收单，验收数量不得超过订单余量。</w:t>
            </w:r>
          </w:p>
        </w:tc>
      </w:tr>
      <w:tr>
        <w:tc>
          <w:tcPr>
            <w:tcW w:type="dxa" w:w="680"/>
          </w:tcPr>
          <w:p>
            <w:pPr>
              <w:spacing w:before="40" w:after="40" w:line="324" w:lineRule="auto"/>
              <w:jc w:val="left"/>
            </w:pPr>
            <w:r/>
            <w:r>
              <w:rPr>
                <w:rFonts w:ascii="微软雅黑" w:hAnsi="微软雅黑" w:eastAsia="微软雅黑"/>
                <w:b/>
                <w:color w:val="0B1B33"/>
                <w:sz w:val="19"/>
              </w:rPr>
              <w:t>07</w:t>
            </w:r>
          </w:p>
        </w:tc>
        <w:tc>
          <w:tcPr>
            <w:tcW w:type="dxa" w:w="2721"/>
          </w:tcPr>
          <w:p>
            <w:pPr>
              <w:spacing w:before="40" w:after="40" w:line="324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color w:val="0B1B33"/>
                <w:sz w:val="19"/>
              </w:rPr>
              <w:t>现场验收 → 入库 → 成本</w:t>
            </w:r>
          </w:p>
        </w:tc>
        <w:tc>
          <w:tcPr>
            <w:tcW w:type="dxa" w:w="5669"/>
          </w:tcPr>
          <w:p>
            <w:pPr>
              <w:spacing w:before="40" w:after="40" w:line="324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color w:val="0B1B33"/>
                <w:sz w:val="19"/>
              </w:rPr>
              <w:t>验收合格自动生成入库单，入库金额按项目与科目进入实际成本。</w:t>
            </w:r>
          </w:p>
        </w:tc>
      </w:tr>
      <w:tr>
        <w:tc>
          <w:tcPr>
            <w:tcW w:type="dxa" w:w="680"/>
            <w:shd w:val="clear" w:color="auto" w:fill="F5F8FD"/>
          </w:tcPr>
          <w:p>
            <w:pPr>
              <w:spacing w:before="40" w:after="40" w:line="324" w:lineRule="auto"/>
              <w:jc w:val="left"/>
            </w:pPr>
            <w:r/>
            <w:r>
              <w:rPr>
                <w:rFonts w:ascii="微软雅黑" w:hAnsi="微软雅黑" w:eastAsia="微软雅黑"/>
                <w:b/>
                <w:color w:val="0B1B33"/>
                <w:sz w:val="19"/>
              </w:rPr>
              <w:t>08</w:t>
            </w:r>
          </w:p>
        </w:tc>
        <w:tc>
          <w:tcPr>
            <w:tcW w:type="dxa" w:w="2721"/>
            <w:shd w:val="clear" w:color="auto" w:fill="F5F8FD"/>
          </w:tcPr>
          <w:p>
            <w:pPr>
              <w:spacing w:before="40" w:after="40" w:line="324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color w:val="0B1B33"/>
                <w:sz w:val="19"/>
              </w:rPr>
              <w:t>物资出库 → 班组领用</w:t>
            </w:r>
          </w:p>
        </w:tc>
        <w:tc>
          <w:tcPr>
            <w:tcW w:type="dxa" w:w="5669"/>
            <w:shd w:val="clear" w:color="auto" w:fill="F5F8FD"/>
          </w:tcPr>
          <w:p>
            <w:pPr>
              <w:spacing w:before="40" w:after="40" w:line="324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color w:val="0B1B33"/>
                <w:sz w:val="19"/>
              </w:rPr>
              <w:t>出库选择班组与部位，领用数据用于材料成本归集与超耗分析。</w:t>
            </w:r>
          </w:p>
        </w:tc>
      </w:tr>
      <w:tr>
        <w:tc>
          <w:tcPr>
            <w:tcW w:type="dxa" w:w="680"/>
          </w:tcPr>
          <w:p>
            <w:pPr>
              <w:spacing w:before="40" w:after="40" w:line="324" w:lineRule="auto"/>
              <w:jc w:val="left"/>
            </w:pPr>
            <w:r/>
            <w:r>
              <w:rPr>
                <w:rFonts w:ascii="微软雅黑" w:hAnsi="微软雅黑" w:eastAsia="微软雅黑"/>
                <w:b/>
                <w:color w:val="0B1B33"/>
                <w:sz w:val="19"/>
              </w:rPr>
              <w:t>09</w:t>
            </w:r>
          </w:p>
        </w:tc>
        <w:tc>
          <w:tcPr>
            <w:tcW w:type="dxa" w:w="2721"/>
          </w:tcPr>
          <w:p>
            <w:pPr>
              <w:spacing w:before="40" w:after="40" w:line="324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color w:val="0B1B33"/>
                <w:sz w:val="19"/>
              </w:rPr>
              <w:t>分包合同 → 结算 → 付款</w:t>
            </w:r>
          </w:p>
        </w:tc>
        <w:tc>
          <w:tcPr>
            <w:tcW w:type="dxa" w:w="5669"/>
          </w:tcPr>
          <w:p>
            <w:pPr>
              <w:spacing w:before="40" w:after="40" w:line="324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color w:val="0B1B33"/>
                <w:sz w:val="19"/>
              </w:rPr>
              <w:t>结算受合同范围与单价约束，付款受结算金额与比例约束，超付拦截。</w:t>
            </w:r>
          </w:p>
        </w:tc>
      </w:tr>
      <w:tr>
        <w:tc>
          <w:tcPr>
            <w:tcW w:type="dxa" w:w="680"/>
            <w:shd w:val="clear" w:color="auto" w:fill="F5F8FD"/>
          </w:tcPr>
          <w:p>
            <w:pPr>
              <w:spacing w:before="40" w:after="40" w:line="324" w:lineRule="auto"/>
              <w:jc w:val="left"/>
            </w:pPr>
            <w:r/>
            <w:r>
              <w:rPr>
                <w:rFonts w:ascii="微软雅黑" w:hAnsi="微软雅黑" w:eastAsia="微软雅黑"/>
                <w:b/>
                <w:color w:val="0B1B33"/>
                <w:sz w:val="19"/>
              </w:rPr>
              <w:t>10</w:t>
            </w:r>
          </w:p>
        </w:tc>
        <w:tc>
          <w:tcPr>
            <w:tcW w:type="dxa" w:w="2721"/>
            <w:shd w:val="clear" w:color="auto" w:fill="F5F8FD"/>
          </w:tcPr>
          <w:p>
            <w:pPr>
              <w:spacing w:before="40" w:after="40" w:line="324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color w:val="0B1B33"/>
                <w:sz w:val="19"/>
              </w:rPr>
              <w:t>考勤 → 工资 → 银行代发</w:t>
            </w:r>
          </w:p>
        </w:tc>
        <w:tc>
          <w:tcPr>
            <w:tcW w:type="dxa" w:w="5669"/>
            <w:shd w:val="clear" w:color="auto" w:fill="F5F8FD"/>
          </w:tcPr>
          <w:p>
            <w:pPr>
              <w:spacing w:before="40" w:after="40" w:line="324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color w:val="0B1B33"/>
                <w:sz w:val="19"/>
              </w:rPr>
              <w:t>考勤按日汇总，工资表自动生成，代发批次回单归档。</w:t>
            </w:r>
          </w:p>
        </w:tc>
      </w:tr>
      <w:tr>
        <w:tc>
          <w:tcPr>
            <w:tcW w:type="dxa" w:w="680"/>
          </w:tcPr>
          <w:p>
            <w:pPr>
              <w:spacing w:before="40" w:after="40" w:line="324" w:lineRule="auto"/>
              <w:jc w:val="left"/>
            </w:pPr>
            <w:r/>
            <w:r>
              <w:rPr>
                <w:rFonts w:ascii="微软雅黑" w:hAnsi="微软雅黑" w:eastAsia="微软雅黑"/>
                <w:b/>
                <w:color w:val="0B1B33"/>
                <w:sz w:val="19"/>
              </w:rPr>
              <w:t>11</w:t>
            </w:r>
          </w:p>
        </w:tc>
        <w:tc>
          <w:tcPr>
            <w:tcW w:type="dxa" w:w="2721"/>
          </w:tcPr>
          <w:p>
            <w:pPr>
              <w:spacing w:before="40" w:after="40" w:line="324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color w:val="0B1B33"/>
                <w:sz w:val="19"/>
              </w:rPr>
              <w:t>检查 → 整改 → 复查</w:t>
            </w:r>
          </w:p>
        </w:tc>
        <w:tc>
          <w:tcPr>
            <w:tcW w:type="dxa" w:w="5669"/>
          </w:tcPr>
          <w:p>
            <w:pPr>
              <w:spacing w:before="40" w:after="40" w:line="324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color w:val="0B1B33"/>
                <w:sz w:val="19"/>
              </w:rPr>
              <w:t>不合格自动生成整改单并派发责任人，复查通过才闭环，超期预警。</w:t>
            </w:r>
          </w:p>
        </w:tc>
      </w:tr>
      <w:tr>
        <w:tc>
          <w:tcPr>
            <w:tcW w:type="dxa" w:w="680"/>
            <w:shd w:val="clear" w:color="auto" w:fill="F5F8FD"/>
          </w:tcPr>
          <w:p>
            <w:pPr>
              <w:spacing w:before="40" w:after="40" w:line="324" w:lineRule="auto"/>
              <w:jc w:val="left"/>
            </w:pPr>
            <w:r/>
            <w:r>
              <w:rPr>
                <w:rFonts w:ascii="微软雅黑" w:hAnsi="微软雅黑" w:eastAsia="微软雅黑"/>
                <w:b/>
                <w:color w:val="0B1B33"/>
                <w:sz w:val="19"/>
              </w:rPr>
              <w:t>12</w:t>
            </w:r>
          </w:p>
        </w:tc>
        <w:tc>
          <w:tcPr>
            <w:tcW w:type="dxa" w:w="2721"/>
            <w:shd w:val="clear" w:color="auto" w:fill="F5F8FD"/>
          </w:tcPr>
          <w:p>
            <w:pPr>
              <w:spacing w:before="40" w:after="40" w:line="324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color w:val="0B1B33"/>
                <w:sz w:val="19"/>
              </w:rPr>
              <w:t>目标成本 → 实际成本</w:t>
            </w:r>
          </w:p>
        </w:tc>
        <w:tc>
          <w:tcPr>
            <w:tcW w:type="dxa" w:w="5669"/>
            <w:shd w:val="clear" w:color="auto" w:fill="F5F8FD"/>
          </w:tcPr>
          <w:p>
            <w:pPr>
              <w:spacing w:before="40" w:after="40" w:line="324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color w:val="0B1B33"/>
                <w:sz w:val="19"/>
              </w:rPr>
              <w:t>科目维度自动对比，偏差超阈值在工作台与成本对比同时提示。</w:t>
            </w:r>
          </w:p>
        </w:tc>
      </w:tr>
      <w:tr>
        <w:tc>
          <w:tcPr>
            <w:tcW w:type="dxa" w:w="680"/>
          </w:tcPr>
          <w:p>
            <w:pPr>
              <w:spacing w:before="40" w:after="40" w:line="324" w:lineRule="auto"/>
              <w:jc w:val="left"/>
            </w:pPr>
            <w:r/>
            <w:r>
              <w:rPr>
                <w:rFonts w:ascii="微软雅黑" w:hAnsi="微软雅黑" w:eastAsia="微软雅黑"/>
                <w:b/>
                <w:color w:val="0B1B33"/>
                <w:sz w:val="19"/>
              </w:rPr>
              <w:t>13</w:t>
            </w:r>
          </w:p>
        </w:tc>
        <w:tc>
          <w:tcPr>
            <w:tcW w:type="dxa" w:w="2721"/>
          </w:tcPr>
          <w:p>
            <w:pPr>
              <w:spacing w:before="40" w:after="40" w:line="324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color w:val="0B1B33"/>
                <w:sz w:val="19"/>
              </w:rPr>
              <w:t>项目 → 资金计划</w:t>
            </w:r>
          </w:p>
        </w:tc>
        <w:tc>
          <w:tcPr>
            <w:tcW w:type="dxa" w:w="5669"/>
          </w:tcPr>
          <w:p>
            <w:pPr>
              <w:spacing w:before="40" w:after="40" w:line="324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color w:val="0B1B33"/>
                <w:sz w:val="19"/>
              </w:rPr>
              <w:t>项目收付款计划按期间汇总进资金计划，缺口按项目与月份列示。</w:t>
            </w:r>
          </w:p>
        </w:tc>
      </w:tr>
      <w:tr>
        <w:tc>
          <w:tcPr>
            <w:tcW w:type="dxa" w:w="680"/>
            <w:shd w:val="clear" w:color="auto" w:fill="F5F8FD"/>
          </w:tcPr>
          <w:p>
            <w:pPr>
              <w:spacing w:before="40" w:after="40" w:line="324" w:lineRule="auto"/>
              <w:jc w:val="left"/>
            </w:pPr>
            <w:r/>
            <w:r>
              <w:rPr>
                <w:rFonts w:ascii="微软雅黑" w:hAnsi="微软雅黑" w:eastAsia="微软雅黑"/>
                <w:b/>
                <w:color w:val="0B1B33"/>
                <w:sz w:val="19"/>
              </w:rPr>
              <w:t>14</w:t>
            </w:r>
          </w:p>
        </w:tc>
        <w:tc>
          <w:tcPr>
            <w:tcW w:type="dxa" w:w="2721"/>
            <w:shd w:val="clear" w:color="auto" w:fill="F5F8FD"/>
          </w:tcPr>
          <w:p>
            <w:pPr>
              <w:spacing w:before="40" w:after="40" w:line="324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color w:val="0B1B33"/>
                <w:sz w:val="19"/>
              </w:rPr>
              <w:t>审批流 → 待办 → 消息</w:t>
            </w:r>
          </w:p>
        </w:tc>
        <w:tc>
          <w:tcPr>
            <w:tcW w:type="dxa" w:w="5669"/>
            <w:shd w:val="clear" w:color="auto" w:fill="F5F8FD"/>
          </w:tcPr>
          <w:p>
            <w:pPr>
              <w:spacing w:before="40" w:after="40" w:line="324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color w:val="0B1B33"/>
                <w:sz w:val="19"/>
              </w:rPr>
              <w:t>提交审批进入审批人待办，超时按规则发消息与预警。</w:t>
            </w:r>
          </w:p>
        </w:tc>
      </w:tr>
      <w:tr>
        <w:tc>
          <w:tcPr>
            <w:tcW w:type="dxa" w:w="680"/>
          </w:tcPr>
          <w:p>
            <w:pPr>
              <w:spacing w:before="40" w:after="40" w:line="324" w:lineRule="auto"/>
              <w:jc w:val="left"/>
            </w:pPr>
            <w:r/>
            <w:r>
              <w:rPr>
                <w:rFonts w:ascii="微软雅黑" w:hAnsi="微软雅黑" w:eastAsia="微软雅黑"/>
                <w:b/>
                <w:color w:val="0B1B33"/>
                <w:sz w:val="19"/>
              </w:rPr>
              <w:t>15</w:t>
            </w:r>
          </w:p>
        </w:tc>
        <w:tc>
          <w:tcPr>
            <w:tcW w:type="dxa" w:w="2721"/>
          </w:tcPr>
          <w:p>
            <w:pPr>
              <w:spacing w:before="40" w:after="40" w:line="324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color w:val="0B1B33"/>
                <w:sz w:val="19"/>
              </w:rPr>
              <w:t>项目主档 → 数据权限 → 报表</w:t>
            </w:r>
          </w:p>
        </w:tc>
        <w:tc>
          <w:tcPr>
            <w:tcW w:type="dxa" w:w="5669"/>
          </w:tcPr>
          <w:p>
            <w:pPr>
              <w:spacing w:before="40" w:after="40" w:line="324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color w:val="0B1B33"/>
                <w:sz w:val="19"/>
              </w:rPr>
              <w:t>项目归属决定可见范围，报表与看板自动按数据权限过滤。</w:t>
            </w:r>
          </w:p>
        </w:tc>
      </w:tr>
    </w:tbl>
    <w:p>
      <w:pPr>
        <w:spacing w:after="40"/>
      </w:pPr>
    </w:p>
    <w:p>
      <w:pPr>
        <w:spacing w:before="360" w:after="160"/>
        <w:pStyle w:val="Heading1"/>
        <w:pBdr>
          <w:bottom w:val="single" w:sz="12" w:space="4" w:color="F59E0B"/>
        </w:pBdr>
      </w:pPr>
      <w:r>
        <w:rPr>
          <w:rFonts w:ascii="微软雅黑" w:hAnsi="微软雅黑" w:eastAsia="微软雅黑"/>
          <w:b/>
          <w:color w:val="0B1B33"/>
          <w:sz w:val="32"/>
        </w:rPr>
        <w:t>六　经营分析</w:t>
      </w:r>
    </w:p>
    <w:p>
      <w:pPr>
        <w:spacing w:before="0" w:after="120" w:line="396" w:lineRule="auto"/>
        <w:ind w:firstLine="420"/>
        <w:jc w:val="both"/>
      </w:pPr>
      <w:r>
        <w:rPr>
          <w:rFonts w:ascii="微软雅黑" w:hAnsi="微软雅黑" w:eastAsia="微软雅黑"/>
          <w:b w:val="0"/>
          <w:color w:val="0B1B33"/>
          <w:sz w:val="21"/>
        </w:rPr>
        <w:t>分析直接读取业务表：看到的数就是单据里的数，不另做一套报表口径。任一 KPI 可逐层下钻到项目与原始单据。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061"/>
        <w:gridCol w:w="3061"/>
        <w:gridCol w:w="3061"/>
      </w:tblGrid>
      <w:tr>
        <w:tc>
          <w:tcPr>
            <w:tcW w:type="dxa" w:w="1701"/>
            <w:shd w:val="clear" w:color="auto" w:fill="0B1B33"/>
          </w:tcPr>
          <w:p>
            <w:pPr>
              <w:spacing w:before="40" w:after="40" w:line="324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color w:val="FFFFFF"/>
                <w:sz w:val="19"/>
              </w:rPr>
              <w:t>分析域</w:t>
            </w:r>
          </w:p>
        </w:tc>
        <w:tc>
          <w:tcPr>
            <w:tcW w:type="dxa" w:w="3969"/>
            <w:shd w:val="clear" w:color="auto" w:fill="0B1B33"/>
          </w:tcPr>
          <w:p>
            <w:pPr>
              <w:spacing w:before="40" w:after="40" w:line="324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color w:val="FFFFFF"/>
                <w:sz w:val="19"/>
              </w:rPr>
              <w:t>核心指标</w:t>
            </w:r>
          </w:p>
        </w:tc>
        <w:tc>
          <w:tcPr>
            <w:tcW w:type="dxa" w:w="3402"/>
            <w:shd w:val="clear" w:color="auto" w:fill="0B1B33"/>
          </w:tcPr>
          <w:p>
            <w:pPr>
              <w:spacing w:before="40" w:after="40" w:line="324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color w:val="FFFFFF"/>
                <w:sz w:val="19"/>
              </w:rPr>
              <w:t>典型用途</w:t>
            </w:r>
          </w:p>
        </w:tc>
      </w:tr>
      <w:tr>
        <w:tc>
          <w:tcPr>
            <w:tcW w:type="dxa" w:w="1701"/>
          </w:tcPr>
          <w:p>
            <w:pPr>
              <w:spacing w:before="40" w:after="40" w:line="324" w:lineRule="auto"/>
              <w:jc w:val="left"/>
            </w:pPr>
            <w:r/>
            <w:r>
              <w:rPr>
                <w:rFonts w:ascii="微软雅黑" w:hAnsi="微软雅黑" w:eastAsia="微软雅黑"/>
                <w:b/>
                <w:color w:val="0B1B33"/>
                <w:sz w:val="19"/>
              </w:rPr>
              <w:t>项目经营</w:t>
            </w:r>
          </w:p>
        </w:tc>
        <w:tc>
          <w:tcPr>
            <w:tcW w:type="dxa" w:w="3969"/>
          </w:tcPr>
          <w:p>
            <w:pPr>
              <w:spacing w:before="40" w:after="40" w:line="324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color w:val="0B1B33"/>
                <w:sz w:val="19"/>
              </w:rPr>
              <w:t>产值、合同执行、收款率、变更签证影响、进度偏差</w:t>
            </w:r>
          </w:p>
        </w:tc>
        <w:tc>
          <w:tcPr>
            <w:tcW w:type="dxa" w:w="3402"/>
          </w:tcPr>
          <w:p>
            <w:pPr>
              <w:spacing w:before="40" w:after="40" w:line="324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color w:val="0B1B33"/>
                <w:sz w:val="19"/>
              </w:rPr>
              <w:t>月度经营会判断项目健康度</w:t>
            </w:r>
          </w:p>
        </w:tc>
      </w:tr>
      <w:tr>
        <w:tc>
          <w:tcPr>
            <w:tcW w:type="dxa" w:w="1701"/>
            <w:shd w:val="clear" w:color="auto" w:fill="F5F8FD"/>
          </w:tcPr>
          <w:p>
            <w:pPr>
              <w:spacing w:before="40" w:after="40" w:line="324" w:lineRule="auto"/>
              <w:jc w:val="left"/>
            </w:pPr>
            <w:r/>
            <w:r>
              <w:rPr>
                <w:rFonts w:ascii="微软雅黑" w:hAnsi="微软雅黑" w:eastAsia="微软雅黑"/>
                <w:b/>
                <w:color w:val="0B1B33"/>
                <w:sz w:val="19"/>
              </w:rPr>
              <w:t>分包劳务</w:t>
            </w:r>
          </w:p>
        </w:tc>
        <w:tc>
          <w:tcPr>
            <w:tcW w:type="dxa" w:w="3969"/>
            <w:shd w:val="clear" w:color="auto" w:fill="F5F8FD"/>
          </w:tcPr>
          <w:p>
            <w:pPr>
              <w:spacing w:before="40" w:after="40" w:line="324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color w:val="0B1B33"/>
                <w:sz w:val="19"/>
              </w:rPr>
              <w:t>分包产值、结算付款进度、劳务出勤、工资代发</w:t>
            </w:r>
          </w:p>
        </w:tc>
        <w:tc>
          <w:tcPr>
            <w:tcW w:type="dxa" w:w="3402"/>
            <w:shd w:val="clear" w:color="auto" w:fill="F5F8FD"/>
          </w:tcPr>
          <w:p>
            <w:pPr>
              <w:spacing w:before="40" w:after="40" w:line="324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color w:val="0B1B33"/>
                <w:sz w:val="19"/>
              </w:rPr>
              <w:t>控制支出节奏、防超付</w:t>
            </w:r>
          </w:p>
        </w:tc>
      </w:tr>
      <w:tr>
        <w:tc>
          <w:tcPr>
            <w:tcW w:type="dxa" w:w="1701"/>
          </w:tcPr>
          <w:p>
            <w:pPr>
              <w:spacing w:before="40" w:after="40" w:line="324" w:lineRule="auto"/>
              <w:jc w:val="left"/>
            </w:pPr>
            <w:r/>
            <w:r>
              <w:rPr>
                <w:rFonts w:ascii="微软雅黑" w:hAnsi="微软雅黑" w:eastAsia="微软雅黑"/>
                <w:b/>
                <w:color w:val="0B1B33"/>
                <w:sz w:val="19"/>
              </w:rPr>
              <w:t>物资设备</w:t>
            </w:r>
          </w:p>
        </w:tc>
        <w:tc>
          <w:tcPr>
            <w:tcW w:type="dxa" w:w="3969"/>
          </w:tcPr>
          <w:p>
            <w:pPr>
              <w:spacing w:before="40" w:after="40" w:line="324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color w:val="0B1B33"/>
                <w:sz w:val="19"/>
              </w:rPr>
              <w:t>采购执行、库存结构、材料超耗、设备利用率</w:t>
            </w:r>
          </w:p>
        </w:tc>
        <w:tc>
          <w:tcPr>
            <w:tcW w:type="dxa" w:w="3402"/>
          </w:tcPr>
          <w:p>
            <w:pPr>
              <w:spacing w:before="40" w:after="40" w:line="324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color w:val="0B1B33"/>
                <w:sz w:val="19"/>
              </w:rPr>
              <w:t>降库存、查超耗、调配设备</w:t>
            </w:r>
          </w:p>
        </w:tc>
      </w:tr>
      <w:tr>
        <w:tc>
          <w:tcPr>
            <w:tcW w:type="dxa" w:w="1701"/>
            <w:shd w:val="clear" w:color="auto" w:fill="F5F8FD"/>
          </w:tcPr>
          <w:p>
            <w:pPr>
              <w:spacing w:before="40" w:after="40" w:line="324" w:lineRule="auto"/>
              <w:jc w:val="left"/>
            </w:pPr>
            <w:r/>
            <w:r>
              <w:rPr>
                <w:rFonts w:ascii="微软雅黑" w:hAnsi="微软雅黑" w:eastAsia="微软雅黑"/>
                <w:b/>
                <w:color w:val="0B1B33"/>
                <w:sz w:val="19"/>
              </w:rPr>
              <w:t>现场质安</w:t>
            </w:r>
          </w:p>
        </w:tc>
        <w:tc>
          <w:tcPr>
            <w:tcW w:type="dxa" w:w="3969"/>
            <w:shd w:val="clear" w:color="auto" w:fill="F5F8FD"/>
          </w:tcPr>
          <w:p>
            <w:pPr>
              <w:spacing w:before="40" w:after="40" w:line="324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color w:val="0B1B33"/>
                <w:sz w:val="19"/>
              </w:rPr>
              <w:t>检查频次、隐患类型、整改及时率、责任人排名</w:t>
            </w:r>
          </w:p>
        </w:tc>
        <w:tc>
          <w:tcPr>
            <w:tcW w:type="dxa" w:w="3402"/>
            <w:shd w:val="clear" w:color="auto" w:fill="F5F8FD"/>
          </w:tcPr>
          <w:p>
            <w:pPr>
              <w:spacing w:before="40" w:after="40" w:line="324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color w:val="0B1B33"/>
                <w:sz w:val="19"/>
              </w:rPr>
              <w:t>安全例会与责任考核</w:t>
            </w:r>
          </w:p>
        </w:tc>
      </w:tr>
      <w:tr>
        <w:tc>
          <w:tcPr>
            <w:tcW w:type="dxa" w:w="1701"/>
          </w:tcPr>
          <w:p>
            <w:pPr>
              <w:spacing w:before="40" w:after="40" w:line="324" w:lineRule="auto"/>
              <w:jc w:val="left"/>
            </w:pPr>
            <w:r/>
            <w:r>
              <w:rPr>
                <w:rFonts w:ascii="微软雅黑" w:hAnsi="微软雅黑" w:eastAsia="微软雅黑"/>
                <w:b/>
                <w:color w:val="0B1B33"/>
                <w:sz w:val="19"/>
              </w:rPr>
              <w:t>资金成本</w:t>
            </w:r>
          </w:p>
        </w:tc>
        <w:tc>
          <w:tcPr>
            <w:tcW w:type="dxa" w:w="3969"/>
          </w:tcPr>
          <w:p>
            <w:pPr>
              <w:spacing w:before="40" w:after="40" w:line="324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color w:val="0B1B33"/>
                <w:sz w:val="19"/>
              </w:rPr>
              <w:t>产值成本毛利、应收应付、资金余额、费用结构</w:t>
            </w:r>
          </w:p>
        </w:tc>
        <w:tc>
          <w:tcPr>
            <w:tcW w:type="dxa" w:w="3402"/>
          </w:tcPr>
          <w:p>
            <w:pPr>
              <w:spacing w:before="40" w:after="40" w:line="324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color w:val="0B1B33"/>
                <w:sz w:val="19"/>
              </w:rPr>
              <w:t>资金调度与利润分析</w:t>
            </w:r>
          </w:p>
        </w:tc>
      </w:tr>
      <w:tr>
        <w:tc>
          <w:tcPr>
            <w:tcW w:type="dxa" w:w="1701"/>
            <w:shd w:val="clear" w:color="auto" w:fill="F5F8FD"/>
          </w:tcPr>
          <w:p>
            <w:pPr>
              <w:spacing w:before="40" w:after="40" w:line="324" w:lineRule="auto"/>
              <w:jc w:val="left"/>
            </w:pPr>
            <w:r/>
            <w:r>
              <w:rPr>
                <w:rFonts w:ascii="微软雅黑" w:hAnsi="微软雅黑" w:eastAsia="微软雅黑"/>
                <w:b/>
                <w:color w:val="0B1B33"/>
                <w:sz w:val="19"/>
              </w:rPr>
              <w:t>收款应收</w:t>
            </w:r>
          </w:p>
        </w:tc>
        <w:tc>
          <w:tcPr>
            <w:tcW w:type="dxa" w:w="3969"/>
            <w:shd w:val="clear" w:color="auto" w:fill="F5F8FD"/>
          </w:tcPr>
          <w:p>
            <w:pPr>
              <w:spacing w:before="40" w:after="40" w:line="324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color w:val="0B1B33"/>
                <w:sz w:val="19"/>
              </w:rPr>
              <w:t>账龄分布、逾期项目、开票与收款勾稽</w:t>
            </w:r>
          </w:p>
        </w:tc>
        <w:tc>
          <w:tcPr>
            <w:tcW w:type="dxa" w:w="3402"/>
            <w:shd w:val="clear" w:color="auto" w:fill="F5F8FD"/>
          </w:tcPr>
          <w:p>
            <w:pPr>
              <w:spacing w:before="40" w:after="40" w:line="324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color w:val="0B1B33"/>
                <w:sz w:val="19"/>
              </w:rPr>
              <w:t>催收与开票计划</w:t>
            </w:r>
          </w:p>
        </w:tc>
      </w:tr>
    </w:tbl>
    <w:p>
      <w:pPr>
        <w:spacing w:after="40"/>
      </w:pPr>
    </w:p>
    <w:p>
      <w:pPr>
        <w:spacing w:before="0" w:after="120" w:line="396" w:lineRule="auto"/>
        <w:ind w:firstLine="420"/>
        <w:jc w:val="both"/>
      </w:pPr>
      <w:r>
        <w:rPr>
          <w:rFonts w:ascii="微软雅黑" w:hAnsi="微软雅黑" w:eastAsia="微软雅黑"/>
          <w:b w:val="0"/>
          <w:color w:val="0B1B33"/>
          <w:sz w:val="21"/>
        </w:rPr>
        <w:t>此外提供数据大屏（投屏开会、可全屏与定时刷新）与看板配置器（自选指标、维度、图表与布局，保存为个人或共享看板）。</w:t>
      </w:r>
    </w:p>
    <w:p>
      <w:pPr>
        <w:spacing w:before="360" w:after="160"/>
        <w:pStyle w:val="Heading1"/>
        <w:pBdr>
          <w:bottom w:val="single" w:sz="12" w:space="4" w:color="F59E0B"/>
        </w:pBdr>
      </w:pPr>
      <w:r>
        <w:rPr>
          <w:rFonts w:ascii="微软雅黑" w:hAnsi="微软雅黑" w:eastAsia="微软雅黑"/>
          <w:b/>
          <w:color w:val="0B1B33"/>
          <w:sz w:val="32"/>
        </w:rPr>
        <w:t>七　移动端与扫码</w:t>
      </w:r>
    </w:p>
    <w:p>
      <w:pPr>
        <w:spacing w:before="0" w:after="120" w:line="396" w:lineRule="auto"/>
        <w:ind w:firstLine="420"/>
        <w:jc w:val="both"/>
      </w:pPr>
      <w:r>
        <w:rPr>
          <w:rFonts w:ascii="微软雅黑" w:hAnsi="微软雅黑" w:eastAsia="微软雅黑"/>
          <w:b w:val="0"/>
          <w:color w:val="0B1B33"/>
          <w:sz w:val="21"/>
        </w:rPr>
        <w:t>移动端不是把 PC 页面缩小，而是按现场动作重做：拍一张、扫一下、填两栏就能提交。PC、移动与扫码三端共用同一套数据，后台不再二次转录。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061"/>
        <w:gridCol w:w="3061"/>
        <w:gridCol w:w="3061"/>
      </w:tblGrid>
      <w:tr>
        <w:tc>
          <w:tcPr>
            <w:tcW w:type="dxa" w:w="1701"/>
            <w:shd w:val="clear" w:color="auto" w:fill="0B1B33"/>
          </w:tcPr>
          <w:p>
            <w:pPr>
              <w:spacing w:before="40" w:after="40" w:line="324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color w:val="FFFFFF"/>
                <w:sz w:val="19"/>
              </w:rPr>
              <w:t>场景</w:t>
            </w:r>
          </w:p>
        </w:tc>
        <w:tc>
          <w:tcPr>
            <w:tcW w:type="dxa" w:w="5329"/>
            <w:shd w:val="clear" w:color="auto" w:fill="0B1B33"/>
          </w:tcPr>
          <w:p>
            <w:pPr>
              <w:spacing w:before="40" w:after="40" w:line="324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color w:val="FFFFFF"/>
                <w:sz w:val="19"/>
              </w:rPr>
              <w:t>能力说明</w:t>
            </w:r>
          </w:p>
        </w:tc>
        <w:tc>
          <w:tcPr>
            <w:tcW w:type="dxa" w:w="2041"/>
            <w:shd w:val="clear" w:color="auto" w:fill="0B1B33"/>
          </w:tcPr>
          <w:p>
            <w:pPr>
              <w:spacing w:before="40" w:after="40" w:line="324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color w:val="FFFFFF"/>
                <w:sz w:val="19"/>
              </w:rPr>
              <w:t>主要使用角色</w:t>
            </w:r>
          </w:p>
        </w:tc>
      </w:tr>
      <w:tr>
        <w:tc>
          <w:tcPr>
            <w:tcW w:type="dxa" w:w="1701"/>
          </w:tcPr>
          <w:p>
            <w:pPr>
              <w:spacing w:before="40" w:after="40" w:line="324" w:lineRule="auto"/>
              <w:jc w:val="left"/>
            </w:pPr>
            <w:r/>
            <w:r>
              <w:rPr>
                <w:rFonts w:ascii="微软雅黑" w:hAnsi="微软雅黑" w:eastAsia="微软雅黑"/>
                <w:b/>
                <w:color w:val="0B1B33"/>
                <w:sz w:val="19"/>
              </w:rPr>
              <w:t>物资收料</w:t>
            </w:r>
          </w:p>
        </w:tc>
        <w:tc>
          <w:tcPr>
            <w:tcW w:type="dxa" w:w="5329"/>
          </w:tcPr>
          <w:p>
            <w:pPr>
              <w:spacing w:before="40" w:after="40" w:line="324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color w:val="0B1B33"/>
                <w:sz w:val="19"/>
              </w:rPr>
              <w:t>扫码带出物资与批次，拍照上传，验收合格自动入库</w:t>
            </w:r>
          </w:p>
        </w:tc>
        <w:tc>
          <w:tcPr>
            <w:tcW w:type="dxa" w:w="2041"/>
          </w:tcPr>
          <w:p>
            <w:pPr>
              <w:spacing w:before="40" w:after="40" w:line="324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color w:val="0B1B33"/>
                <w:sz w:val="19"/>
              </w:rPr>
              <w:t>材料员 / 库管</w:t>
            </w:r>
          </w:p>
        </w:tc>
      </w:tr>
      <w:tr>
        <w:tc>
          <w:tcPr>
            <w:tcW w:type="dxa" w:w="1701"/>
            <w:shd w:val="clear" w:color="auto" w:fill="F5F8FD"/>
          </w:tcPr>
          <w:p>
            <w:pPr>
              <w:spacing w:before="40" w:after="40" w:line="324" w:lineRule="auto"/>
              <w:jc w:val="left"/>
            </w:pPr>
            <w:r/>
            <w:r>
              <w:rPr>
                <w:rFonts w:ascii="微软雅黑" w:hAnsi="微软雅黑" w:eastAsia="微软雅黑"/>
                <w:b/>
                <w:color w:val="0B1B33"/>
                <w:sz w:val="19"/>
              </w:rPr>
              <w:t>物资领用</w:t>
            </w:r>
          </w:p>
        </w:tc>
        <w:tc>
          <w:tcPr>
            <w:tcW w:type="dxa" w:w="5329"/>
            <w:shd w:val="clear" w:color="auto" w:fill="F5F8FD"/>
          </w:tcPr>
          <w:p>
            <w:pPr>
              <w:spacing w:before="40" w:after="40" w:line="324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color w:val="0B1B33"/>
                <w:sz w:val="19"/>
              </w:rPr>
              <w:t>按班组与部位领用，自动归集材料成本</w:t>
            </w:r>
          </w:p>
        </w:tc>
        <w:tc>
          <w:tcPr>
            <w:tcW w:type="dxa" w:w="2041"/>
            <w:shd w:val="clear" w:color="auto" w:fill="F5F8FD"/>
          </w:tcPr>
          <w:p>
            <w:pPr>
              <w:spacing w:before="40" w:after="40" w:line="324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color w:val="0B1B33"/>
                <w:sz w:val="19"/>
              </w:rPr>
              <w:t>材料员 / 班组长</w:t>
            </w:r>
          </w:p>
        </w:tc>
      </w:tr>
      <w:tr>
        <w:tc>
          <w:tcPr>
            <w:tcW w:type="dxa" w:w="1701"/>
          </w:tcPr>
          <w:p>
            <w:pPr>
              <w:spacing w:before="40" w:after="40" w:line="324" w:lineRule="auto"/>
              <w:jc w:val="left"/>
            </w:pPr>
            <w:r/>
            <w:r>
              <w:rPr>
                <w:rFonts w:ascii="微软雅黑" w:hAnsi="微软雅黑" w:eastAsia="微软雅黑"/>
                <w:b/>
                <w:color w:val="0B1B33"/>
                <w:sz w:val="19"/>
              </w:rPr>
              <w:t>库存盘点</w:t>
            </w:r>
          </w:p>
        </w:tc>
        <w:tc>
          <w:tcPr>
            <w:tcW w:type="dxa" w:w="5329"/>
          </w:tcPr>
          <w:p>
            <w:pPr>
              <w:spacing w:before="40" w:after="40" w:line="324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color w:val="0B1B33"/>
                <w:sz w:val="19"/>
              </w:rPr>
              <w:t>扫码盘点，账面与实盘差异即时可见</w:t>
            </w:r>
          </w:p>
        </w:tc>
        <w:tc>
          <w:tcPr>
            <w:tcW w:type="dxa" w:w="2041"/>
          </w:tcPr>
          <w:p>
            <w:pPr>
              <w:spacing w:before="40" w:after="40" w:line="324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color w:val="0B1B33"/>
                <w:sz w:val="19"/>
              </w:rPr>
              <w:t>库管 / 材料员</w:t>
            </w:r>
          </w:p>
        </w:tc>
      </w:tr>
      <w:tr>
        <w:tc>
          <w:tcPr>
            <w:tcW w:type="dxa" w:w="1701"/>
            <w:shd w:val="clear" w:color="auto" w:fill="F5F8FD"/>
          </w:tcPr>
          <w:p>
            <w:pPr>
              <w:spacing w:before="40" w:after="40" w:line="324" w:lineRule="auto"/>
              <w:jc w:val="left"/>
            </w:pPr>
            <w:r/>
            <w:r>
              <w:rPr>
                <w:rFonts w:ascii="微软雅黑" w:hAnsi="微软雅黑" w:eastAsia="微软雅黑"/>
                <w:b/>
                <w:color w:val="0B1B33"/>
                <w:sz w:val="19"/>
              </w:rPr>
              <w:t>现场检查</w:t>
            </w:r>
          </w:p>
        </w:tc>
        <w:tc>
          <w:tcPr>
            <w:tcW w:type="dxa" w:w="5329"/>
            <w:shd w:val="clear" w:color="auto" w:fill="F5F8FD"/>
          </w:tcPr>
          <w:p>
            <w:pPr>
              <w:spacing w:before="40" w:after="40" w:line="324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color w:val="0B1B33"/>
                <w:sz w:val="19"/>
              </w:rPr>
              <w:t>按模板逐项检查、拍照，不合格直接生成整改单</w:t>
            </w:r>
          </w:p>
        </w:tc>
        <w:tc>
          <w:tcPr>
            <w:tcW w:type="dxa" w:w="2041"/>
            <w:shd w:val="clear" w:color="auto" w:fill="F5F8FD"/>
          </w:tcPr>
          <w:p>
            <w:pPr>
              <w:spacing w:before="40" w:after="40" w:line="324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color w:val="0B1B33"/>
                <w:sz w:val="19"/>
              </w:rPr>
              <w:t>安全员 / 质检员</w:t>
            </w:r>
          </w:p>
        </w:tc>
      </w:tr>
      <w:tr>
        <w:tc>
          <w:tcPr>
            <w:tcW w:type="dxa" w:w="1701"/>
          </w:tcPr>
          <w:p>
            <w:pPr>
              <w:spacing w:before="40" w:after="40" w:line="324" w:lineRule="auto"/>
              <w:jc w:val="left"/>
            </w:pPr>
            <w:r/>
            <w:r>
              <w:rPr>
                <w:rFonts w:ascii="微软雅黑" w:hAnsi="微软雅黑" w:eastAsia="微软雅黑"/>
                <w:b/>
                <w:color w:val="0B1B33"/>
                <w:sz w:val="19"/>
              </w:rPr>
              <w:t>施工日志</w:t>
            </w:r>
          </w:p>
        </w:tc>
        <w:tc>
          <w:tcPr>
            <w:tcW w:type="dxa" w:w="5329"/>
          </w:tcPr>
          <w:p>
            <w:pPr>
              <w:spacing w:before="40" w:after="40" w:line="324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color w:val="0B1B33"/>
                <w:sz w:val="19"/>
              </w:rPr>
              <w:t>天气、人员、机械、完成部位，30 秒填完</w:t>
            </w:r>
          </w:p>
        </w:tc>
        <w:tc>
          <w:tcPr>
            <w:tcW w:type="dxa" w:w="2041"/>
          </w:tcPr>
          <w:p>
            <w:pPr>
              <w:spacing w:before="40" w:after="40" w:line="324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color w:val="0B1B33"/>
                <w:sz w:val="19"/>
              </w:rPr>
              <w:t>施工员</w:t>
            </w:r>
          </w:p>
        </w:tc>
      </w:tr>
      <w:tr>
        <w:tc>
          <w:tcPr>
            <w:tcW w:type="dxa" w:w="1701"/>
            <w:shd w:val="clear" w:color="auto" w:fill="F5F8FD"/>
          </w:tcPr>
          <w:p>
            <w:pPr>
              <w:spacing w:before="40" w:after="40" w:line="324" w:lineRule="auto"/>
              <w:jc w:val="left"/>
            </w:pPr>
            <w:r/>
            <w:r>
              <w:rPr>
                <w:rFonts w:ascii="微软雅黑" w:hAnsi="微软雅黑" w:eastAsia="微软雅黑"/>
                <w:b/>
                <w:color w:val="0B1B33"/>
                <w:sz w:val="19"/>
              </w:rPr>
              <w:t>进度填报</w:t>
            </w:r>
          </w:p>
        </w:tc>
        <w:tc>
          <w:tcPr>
            <w:tcW w:type="dxa" w:w="5329"/>
            <w:shd w:val="clear" w:color="auto" w:fill="F5F8FD"/>
          </w:tcPr>
          <w:p>
            <w:pPr>
              <w:spacing w:before="40" w:after="40" w:line="324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color w:val="0B1B33"/>
                <w:sz w:val="19"/>
              </w:rPr>
              <w:t>完成部位与完成量，回写计划完成率</w:t>
            </w:r>
          </w:p>
        </w:tc>
        <w:tc>
          <w:tcPr>
            <w:tcW w:type="dxa" w:w="2041"/>
            <w:shd w:val="clear" w:color="auto" w:fill="F5F8FD"/>
          </w:tcPr>
          <w:p>
            <w:pPr>
              <w:spacing w:before="40" w:after="40" w:line="324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color w:val="0B1B33"/>
                <w:sz w:val="19"/>
              </w:rPr>
              <w:t>施工员 / 项目经理</w:t>
            </w:r>
          </w:p>
        </w:tc>
      </w:tr>
      <w:tr>
        <w:tc>
          <w:tcPr>
            <w:tcW w:type="dxa" w:w="1701"/>
          </w:tcPr>
          <w:p>
            <w:pPr>
              <w:spacing w:before="40" w:after="40" w:line="324" w:lineRule="auto"/>
              <w:jc w:val="left"/>
            </w:pPr>
            <w:r/>
            <w:r>
              <w:rPr>
                <w:rFonts w:ascii="微软雅黑" w:hAnsi="微软雅黑" w:eastAsia="微软雅黑"/>
                <w:b/>
                <w:color w:val="0B1B33"/>
                <w:sz w:val="19"/>
              </w:rPr>
              <w:t>移动审批</w:t>
            </w:r>
          </w:p>
        </w:tc>
        <w:tc>
          <w:tcPr>
            <w:tcW w:type="dxa" w:w="5329"/>
          </w:tcPr>
          <w:p>
            <w:pPr>
              <w:spacing w:before="40" w:after="40" w:line="324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color w:val="0B1B33"/>
                <w:sz w:val="19"/>
              </w:rPr>
              <w:t>签证、付款、报销、结算手机审批，支持加签与退回</w:t>
            </w:r>
          </w:p>
        </w:tc>
        <w:tc>
          <w:tcPr>
            <w:tcW w:type="dxa" w:w="2041"/>
          </w:tcPr>
          <w:p>
            <w:pPr>
              <w:spacing w:before="40" w:after="40" w:line="324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color w:val="0B1B33"/>
                <w:sz w:val="19"/>
              </w:rPr>
              <w:t>各级审批人</w:t>
            </w:r>
          </w:p>
        </w:tc>
      </w:tr>
      <w:tr>
        <w:tc>
          <w:tcPr>
            <w:tcW w:type="dxa" w:w="1701"/>
            <w:shd w:val="clear" w:color="auto" w:fill="F5F8FD"/>
          </w:tcPr>
          <w:p>
            <w:pPr>
              <w:spacing w:before="40" w:after="40" w:line="324" w:lineRule="auto"/>
              <w:jc w:val="left"/>
            </w:pPr>
            <w:r/>
            <w:r>
              <w:rPr>
                <w:rFonts w:ascii="微软雅黑" w:hAnsi="微软雅黑" w:eastAsia="微软雅黑"/>
                <w:b/>
                <w:color w:val="0B1B33"/>
                <w:sz w:val="19"/>
              </w:rPr>
              <w:t>工人自助</w:t>
            </w:r>
          </w:p>
        </w:tc>
        <w:tc>
          <w:tcPr>
            <w:tcW w:type="dxa" w:w="5329"/>
            <w:shd w:val="clear" w:color="auto" w:fill="F5F8FD"/>
          </w:tcPr>
          <w:p>
            <w:pPr>
              <w:spacing w:before="40" w:after="40" w:line="324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color w:val="0B1B33"/>
                <w:sz w:val="19"/>
              </w:rPr>
              <w:t>出勤、工资、合同在线可查</w:t>
            </w:r>
          </w:p>
        </w:tc>
        <w:tc>
          <w:tcPr>
            <w:tcW w:type="dxa" w:w="2041"/>
            <w:shd w:val="clear" w:color="auto" w:fill="F5F8FD"/>
          </w:tcPr>
          <w:p>
            <w:pPr>
              <w:spacing w:before="40" w:after="40" w:line="324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color w:val="0B1B33"/>
                <w:sz w:val="19"/>
              </w:rPr>
              <w:t>劳务工人</w:t>
            </w:r>
          </w:p>
        </w:tc>
      </w:tr>
    </w:tbl>
    <w:p>
      <w:pPr>
        <w:spacing w:after="40"/>
      </w:pPr>
    </w:p>
    <w:p>
      <w:pPr>
        <w:spacing w:before="360" w:after="160"/>
        <w:pStyle w:val="Heading1"/>
        <w:pBdr>
          <w:bottom w:val="single" w:sz="12" w:space="4" w:color="F59E0B"/>
        </w:pBdr>
      </w:pPr>
      <w:r>
        <w:rPr>
          <w:rFonts w:ascii="微软雅黑" w:hAnsi="微软雅黑" w:eastAsia="微软雅黑"/>
          <w:b/>
          <w:color w:val="0B1B33"/>
          <w:sz w:val="32"/>
        </w:rPr>
        <w:t>八　六类业态落地方案</w:t>
      </w:r>
    </w:p>
    <w:p>
      <w:pPr>
        <w:spacing w:before="0" w:after="120" w:line="396" w:lineRule="auto"/>
        <w:ind w:firstLine="420"/>
        <w:jc w:val="both"/>
      </w:pPr>
      <w:r>
        <w:rPr>
          <w:rFonts w:ascii="微软雅黑" w:hAnsi="微软雅黑" w:eastAsia="微软雅黑"/>
          <w:b w:val="0"/>
          <w:color w:val="0B1B33"/>
          <w:sz w:val="21"/>
        </w:rPr>
        <w:t>施工企业的差别，多数不在“要不要管项目”，而在单据形态、结算方式、班组结构与材料结构。系统把这些差异做成字段、字典与流程配置，主骨架保持一致。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061"/>
        <w:gridCol w:w="3061"/>
        <w:gridCol w:w="3061"/>
      </w:tblGrid>
      <w:tr>
        <w:tc>
          <w:tcPr>
            <w:tcW w:type="dxa" w:w="1928"/>
            <w:shd w:val="clear" w:color="auto" w:fill="0B1B33"/>
          </w:tcPr>
          <w:p>
            <w:pPr>
              <w:spacing w:before="40" w:after="40" w:line="324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color w:val="FFFFFF"/>
                <w:sz w:val="19"/>
              </w:rPr>
              <w:t>业态</w:t>
            </w:r>
          </w:p>
        </w:tc>
        <w:tc>
          <w:tcPr>
            <w:tcW w:type="dxa" w:w="4309"/>
            <w:shd w:val="clear" w:color="auto" w:fill="0B1B33"/>
          </w:tcPr>
          <w:p>
            <w:pPr>
              <w:spacing w:before="40" w:after="40" w:line="324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color w:val="FFFFFF"/>
                <w:sz w:val="19"/>
              </w:rPr>
              <w:t>管理重点</w:t>
            </w:r>
          </w:p>
        </w:tc>
        <w:tc>
          <w:tcPr>
            <w:tcW w:type="dxa" w:w="2835"/>
            <w:shd w:val="clear" w:color="auto" w:fill="0B1B33"/>
          </w:tcPr>
          <w:p>
            <w:pPr>
              <w:spacing w:before="40" w:after="40" w:line="324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color w:val="FFFFFF"/>
                <w:sz w:val="19"/>
              </w:rPr>
              <w:t>关键配置</w:t>
            </w:r>
          </w:p>
        </w:tc>
      </w:tr>
      <w:tr>
        <w:tc>
          <w:tcPr>
            <w:tcW w:type="dxa" w:w="1928"/>
          </w:tcPr>
          <w:p>
            <w:pPr>
              <w:spacing w:before="40" w:after="40" w:line="324" w:lineRule="auto"/>
              <w:jc w:val="left"/>
            </w:pPr>
            <w:r/>
            <w:r>
              <w:rPr>
                <w:rFonts w:ascii="微软雅黑" w:hAnsi="微软雅黑" w:eastAsia="微软雅黑"/>
                <w:b/>
                <w:color w:val="0B1B33"/>
                <w:sz w:val="19"/>
              </w:rPr>
              <w:t>房屋建筑（总包）</w:t>
            </w:r>
          </w:p>
        </w:tc>
        <w:tc>
          <w:tcPr>
            <w:tcW w:type="dxa" w:w="4309"/>
          </w:tcPr>
          <w:p>
            <w:pPr>
              <w:spacing w:before="40" w:after="40" w:line="324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color w:val="0B1B33"/>
                <w:sz w:val="19"/>
              </w:rPr>
              <w:t>多层分包与劳务实名制；结算量价一致、材料按部位归集</w:t>
            </w:r>
          </w:p>
        </w:tc>
        <w:tc>
          <w:tcPr>
            <w:tcW w:type="dxa" w:w="2835"/>
          </w:tcPr>
          <w:p>
            <w:pPr>
              <w:spacing w:before="40" w:after="40" w:line="324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color w:val="0B1B33"/>
                <w:sz w:val="19"/>
              </w:rPr>
              <w:t>分包合同约束、劳务考勤、部位领用、成本对比</w:t>
            </w:r>
          </w:p>
        </w:tc>
      </w:tr>
      <w:tr>
        <w:tc>
          <w:tcPr>
            <w:tcW w:type="dxa" w:w="1928"/>
            <w:shd w:val="clear" w:color="auto" w:fill="F5F8FD"/>
          </w:tcPr>
          <w:p>
            <w:pPr>
              <w:spacing w:before="40" w:after="40" w:line="324" w:lineRule="auto"/>
              <w:jc w:val="left"/>
            </w:pPr>
            <w:r/>
            <w:r>
              <w:rPr>
                <w:rFonts w:ascii="微软雅黑" w:hAnsi="微软雅黑" w:eastAsia="微软雅黑"/>
                <w:b/>
                <w:color w:val="0B1B33"/>
                <w:sz w:val="19"/>
              </w:rPr>
              <w:t>市政与路桥</w:t>
            </w:r>
          </w:p>
        </w:tc>
        <w:tc>
          <w:tcPr>
            <w:tcW w:type="dxa" w:w="4309"/>
            <w:shd w:val="clear" w:color="auto" w:fill="F5F8FD"/>
          </w:tcPr>
          <w:p>
            <w:pPr>
              <w:spacing w:before="40" w:after="40" w:line="324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color w:val="0B1B33"/>
                <w:sz w:val="19"/>
              </w:rPr>
              <w:t>多标段多工区；按期计量、按工区核算、地材与设备台班</w:t>
            </w:r>
          </w:p>
        </w:tc>
        <w:tc>
          <w:tcPr>
            <w:tcW w:type="dxa" w:w="2835"/>
            <w:shd w:val="clear" w:color="auto" w:fill="F5F8FD"/>
          </w:tcPr>
          <w:p>
            <w:pPr>
              <w:spacing w:before="40" w:after="40" w:line="324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color w:val="0B1B33"/>
                <w:sz w:val="19"/>
              </w:rPr>
              <w:t>标段/工区结构、计量结算、地材采购、台班费用</w:t>
            </w:r>
          </w:p>
        </w:tc>
      </w:tr>
      <w:tr>
        <w:tc>
          <w:tcPr>
            <w:tcW w:type="dxa" w:w="1928"/>
          </w:tcPr>
          <w:p>
            <w:pPr>
              <w:spacing w:before="40" w:after="40" w:line="324" w:lineRule="auto"/>
              <w:jc w:val="left"/>
            </w:pPr>
            <w:r/>
            <w:r>
              <w:rPr>
                <w:rFonts w:ascii="微软雅黑" w:hAnsi="微软雅黑" w:eastAsia="微软雅黑"/>
                <w:b/>
                <w:color w:val="0B1B33"/>
                <w:sz w:val="19"/>
              </w:rPr>
              <w:t>钢结构与厂房</w:t>
            </w:r>
          </w:p>
        </w:tc>
        <w:tc>
          <w:tcPr>
            <w:tcW w:type="dxa" w:w="4309"/>
          </w:tcPr>
          <w:p>
            <w:pPr>
              <w:spacing w:before="40" w:after="40" w:line="324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color w:val="0B1B33"/>
                <w:sz w:val="19"/>
              </w:rPr>
              <w:t>构件编号、进场验收、焊缝涂装留痕、吊装领用</w:t>
            </w:r>
          </w:p>
        </w:tc>
        <w:tc>
          <w:tcPr>
            <w:tcW w:type="dxa" w:w="2835"/>
          </w:tcPr>
          <w:p>
            <w:pPr>
              <w:spacing w:before="40" w:after="40" w:line="324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color w:val="0B1B33"/>
                <w:sz w:val="19"/>
              </w:rPr>
              <w:t>构件目录、验收模板、质量检查项、设备吊装</w:t>
            </w:r>
          </w:p>
        </w:tc>
      </w:tr>
      <w:tr>
        <w:tc>
          <w:tcPr>
            <w:tcW w:type="dxa" w:w="1928"/>
            <w:shd w:val="clear" w:color="auto" w:fill="F5F8FD"/>
          </w:tcPr>
          <w:p>
            <w:pPr>
              <w:spacing w:before="40" w:after="40" w:line="324" w:lineRule="auto"/>
              <w:jc w:val="left"/>
            </w:pPr>
            <w:r/>
            <w:r>
              <w:rPr>
                <w:rFonts w:ascii="微软雅黑" w:hAnsi="微软雅黑" w:eastAsia="微软雅黑"/>
                <w:b/>
                <w:color w:val="0B1B33"/>
                <w:sz w:val="19"/>
              </w:rPr>
              <w:t>装饰装修</w:t>
            </w:r>
          </w:p>
        </w:tc>
        <w:tc>
          <w:tcPr>
            <w:tcW w:type="dxa" w:w="4309"/>
            <w:shd w:val="clear" w:color="auto" w:fill="F5F8FD"/>
          </w:tcPr>
          <w:p>
            <w:pPr>
              <w:spacing w:before="40" w:after="40" w:line="324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color w:val="0B1B33"/>
                <w:sz w:val="19"/>
              </w:rPr>
              <w:t>损耗按部位对比、返工成本显性化、班组按完成量结算</w:t>
            </w:r>
          </w:p>
        </w:tc>
        <w:tc>
          <w:tcPr>
            <w:tcW w:type="dxa" w:w="2835"/>
            <w:shd w:val="clear" w:color="auto" w:fill="F5F8FD"/>
          </w:tcPr>
          <w:p>
            <w:pPr>
              <w:spacing w:before="40" w:after="40" w:line="324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color w:val="0B1B33"/>
                <w:sz w:val="19"/>
              </w:rPr>
              <w:t>多单位换算、部位领用、返工工时、劳务结算</w:t>
            </w:r>
          </w:p>
        </w:tc>
      </w:tr>
      <w:tr>
        <w:tc>
          <w:tcPr>
            <w:tcW w:type="dxa" w:w="1928"/>
          </w:tcPr>
          <w:p>
            <w:pPr>
              <w:spacing w:before="40" w:after="40" w:line="324" w:lineRule="auto"/>
              <w:jc w:val="left"/>
            </w:pPr>
            <w:r/>
            <w:r>
              <w:rPr>
                <w:rFonts w:ascii="微软雅黑" w:hAnsi="微软雅黑" w:eastAsia="微软雅黑"/>
                <w:b/>
                <w:color w:val="0B1B33"/>
                <w:sz w:val="19"/>
              </w:rPr>
              <w:t>机电安装</w:t>
            </w:r>
          </w:p>
        </w:tc>
        <w:tc>
          <w:tcPr>
            <w:tcW w:type="dxa" w:w="4309"/>
          </w:tcPr>
          <w:p>
            <w:pPr>
              <w:spacing w:before="40" w:after="40" w:line="324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color w:val="0B1B33"/>
                <w:sz w:val="19"/>
              </w:rPr>
              <w:t>设备一物一码、调试记录、维保责任可追</w:t>
            </w:r>
          </w:p>
        </w:tc>
        <w:tc>
          <w:tcPr>
            <w:tcW w:type="dxa" w:w="2835"/>
          </w:tcPr>
          <w:p>
            <w:pPr>
              <w:spacing w:before="40" w:after="40" w:line="324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color w:val="0B1B33"/>
                <w:sz w:val="19"/>
              </w:rPr>
              <w:t>设备台账、安装部位、调试检查项、项目维保</w:t>
            </w:r>
          </w:p>
        </w:tc>
      </w:tr>
      <w:tr>
        <w:tc>
          <w:tcPr>
            <w:tcW w:type="dxa" w:w="1928"/>
            <w:shd w:val="clear" w:color="auto" w:fill="F5F8FD"/>
          </w:tcPr>
          <w:p>
            <w:pPr>
              <w:spacing w:before="40" w:after="40" w:line="324" w:lineRule="auto"/>
              <w:jc w:val="left"/>
            </w:pPr>
            <w:r/>
            <w:r>
              <w:rPr>
                <w:rFonts w:ascii="微软雅黑" w:hAnsi="微软雅黑" w:eastAsia="微软雅黑"/>
                <w:b/>
                <w:color w:val="0B1B33"/>
                <w:sz w:val="19"/>
              </w:rPr>
              <w:t>园林与养护</w:t>
            </w:r>
          </w:p>
        </w:tc>
        <w:tc>
          <w:tcPr>
            <w:tcW w:type="dxa" w:w="4309"/>
            <w:shd w:val="clear" w:color="auto" w:fill="F5F8FD"/>
          </w:tcPr>
          <w:p>
            <w:pPr>
              <w:spacing w:before="40" w:after="40" w:line="324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color w:val="0B1B33"/>
                <w:sz w:val="19"/>
              </w:rPr>
              <w:t>苗木验收、养护日志、阶段验收、尾款与质保金跟踪</w:t>
            </w:r>
          </w:p>
        </w:tc>
        <w:tc>
          <w:tcPr>
            <w:tcW w:type="dxa" w:w="2835"/>
            <w:shd w:val="clear" w:color="auto" w:fill="F5F8FD"/>
          </w:tcPr>
          <w:p>
            <w:pPr>
              <w:spacing w:before="40" w:after="40" w:line="324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color w:val="0B1B33"/>
                <w:sz w:val="19"/>
              </w:rPr>
              <w:t>苗木目录、养护记录、阶段结算、账龄跟踪</w:t>
            </w:r>
          </w:p>
        </w:tc>
      </w:tr>
    </w:tbl>
    <w:p>
      <w:pPr>
        <w:spacing w:after="40"/>
      </w:pPr>
    </w:p>
    <w:p>
      <w:pPr>
        <w:spacing w:before="360" w:after="160"/>
        <w:pStyle w:val="Heading1"/>
        <w:pBdr>
          <w:bottom w:val="single" w:sz="12" w:space="4" w:color="F59E0B"/>
        </w:pBdr>
      </w:pPr>
      <w:r>
        <w:rPr>
          <w:rFonts w:ascii="微软雅黑" w:hAnsi="微软雅黑" w:eastAsia="微软雅黑"/>
          <w:b/>
          <w:color w:val="0B1B33"/>
          <w:sz w:val="32"/>
        </w:rPr>
        <w:t>九　权限与安全</w:t>
      </w:r>
    </w:p>
    <w:p>
      <w:pPr>
        <w:spacing w:after="60" w:line="372" w:lineRule="auto"/>
        <w:ind w:left="360"/>
      </w:pPr>
      <w:r>
        <w:rPr>
          <w:rFonts w:ascii="微软雅黑" w:hAnsi="微软雅黑" w:eastAsia="微软雅黑"/>
          <w:b/>
          <w:color w:val="B45309"/>
          <w:sz w:val="21"/>
        </w:rPr>
        <w:t xml:space="preserve">· </w:t>
      </w:r>
      <w:r>
        <w:rPr>
          <w:rFonts w:ascii="微软雅黑" w:hAnsi="微软雅黑" w:eastAsia="微软雅黑"/>
          <w:b/>
          <w:color w:val="0B1B33"/>
          <w:sz w:val="21"/>
        </w:rPr>
        <w:t>角色权限矩阵：</w:t>
      </w:r>
      <w:r>
        <w:rPr>
          <w:rFonts w:ascii="微软雅黑" w:hAnsi="微软雅黑" w:eastAsia="微软雅黑"/>
          <w:b w:val="0"/>
          <w:color w:val="5B6B83"/>
          <w:sz w:val="21"/>
        </w:rPr>
        <w:t>按岗位建模（老板、经营、成本、物资、劳务、财务、项目经理、施工员、安全员、材料员），功能与操作分别授权，一处调整全站生效。</w:t>
      </w:r>
    </w:p>
    <w:p>
      <w:pPr>
        <w:spacing w:after="60" w:line="372" w:lineRule="auto"/>
        <w:ind w:left="360"/>
      </w:pPr>
      <w:r>
        <w:rPr>
          <w:rFonts w:ascii="微软雅黑" w:hAnsi="微软雅黑" w:eastAsia="微软雅黑"/>
          <w:b/>
          <w:color w:val="B45309"/>
          <w:sz w:val="21"/>
        </w:rPr>
        <w:t xml:space="preserve">· </w:t>
      </w:r>
      <w:r>
        <w:rPr>
          <w:rFonts w:ascii="微软雅黑" w:hAnsi="微软雅黑" w:eastAsia="微软雅黑"/>
          <w:b/>
          <w:color w:val="0B1B33"/>
          <w:sz w:val="21"/>
        </w:rPr>
        <w:t>数据权限项目集：</w:t>
      </w:r>
      <w:r>
        <w:rPr>
          <w:rFonts w:ascii="微软雅黑" w:hAnsi="微软雅黑" w:eastAsia="微软雅黑"/>
          <w:b w:val="0"/>
          <w:color w:val="5B6B83"/>
          <w:sz w:val="21"/>
        </w:rPr>
        <w:t>全公司 / 分公司辖区 / 指定项目三层；报表与看板自动按项目归属过滤。</w:t>
      </w:r>
    </w:p>
    <w:p>
      <w:pPr>
        <w:spacing w:after="60" w:line="372" w:lineRule="auto"/>
        <w:ind w:left="360"/>
      </w:pPr>
      <w:r>
        <w:rPr>
          <w:rFonts w:ascii="微软雅黑" w:hAnsi="微软雅黑" w:eastAsia="微软雅黑"/>
          <w:b/>
          <w:color w:val="B45309"/>
          <w:sz w:val="21"/>
        </w:rPr>
        <w:t xml:space="preserve">· </w:t>
      </w:r>
      <w:r>
        <w:rPr>
          <w:rFonts w:ascii="微软雅黑" w:hAnsi="微软雅黑" w:eastAsia="微软雅黑"/>
          <w:b/>
          <w:color w:val="0B1B33"/>
          <w:sz w:val="21"/>
        </w:rPr>
        <w:t>敏感字段授权：</w:t>
      </w:r>
      <w:r>
        <w:rPr>
          <w:rFonts w:ascii="微软雅黑" w:hAnsi="微软雅黑" w:eastAsia="微软雅黑"/>
          <w:b w:val="0"/>
          <w:color w:val="5B6B83"/>
          <w:sz w:val="21"/>
        </w:rPr>
        <w:t>合同单价、分包单价、工资、利润等可单独控制可见性，支持只读与脱敏。</w:t>
      </w:r>
    </w:p>
    <w:p>
      <w:pPr>
        <w:spacing w:after="60" w:line="372" w:lineRule="auto"/>
        <w:ind w:left="360"/>
      </w:pPr>
      <w:r>
        <w:rPr>
          <w:rFonts w:ascii="微软雅黑" w:hAnsi="微软雅黑" w:eastAsia="微软雅黑"/>
          <w:b/>
          <w:color w:val="B45309"/>
          <w:sz w:val="21"/>
        </w:rPr>
        <w:t xml:space="preserve">· </w:t>
      </w:r>
      <w:r>
        <w:rPr>
          <w:rFonts w:ascii="微软雅黑" w:hAnsi="微软雅黑" w:eastAsia="微软雅黑"/>
          <w:b/>
          <w:color w:val="0B1B33"/>
          <w:sz w:val="21"/>
        </w:rPr>
        <w:t>审批与留痕：</w:t>
      </w:r>
      <w:r>
        <w:rPr>
          <w:rFonts w:ascii="微软雅黑" w:hAnsi="微软雅黑" w:eastAsia="微软雅黑"/>
          <w:b w:val="0"/>
          <w:color w:val="5B6B83"/>
          <w:sz w:val="21"/>
        </w:rPr>
        <w:t>提交、审批、退回、修改记录操作人与时间，关键单据保留历史版本。</w:t>
      </w:r>
    </w:p>
    <w:p>
      <w:pPr>
        <w:spacing w:after="60" w:line="372" w:lineRule="auto"/>
        <w:ind w:left="360"/>
      </w:pPr>
      <w:r>
        <w:rPr>
          <w:rFonts w:ascii="微软雅黑" w:hAnsi="微软雅黑" w:eastAsia="微软雅黑"/>
          <w:b/>
          <w:color w:val="B45309"/>
          <w:sz w:val="21"/>
        </w:rPr>
        <w:t xml:space="preserve">· </w:t>
      </w:r>
      <w:r>
        <w:rPr>
          <w:rFonts w:ascii="微软雅黑" w:hAnsi="微软雅黑" w:eastAsia="微软雅黑"/>
          <w:b/>
          <w:color w:val="0B1B33"/>
          <w:sz w:val="21"/>
        </w:rPr>
        <w:t>操作日志：</w:t>
      </w:r>
      <w:r>
        <w:rPr>
          <w:rFonts w:ascii="微软雅黑" w:hAnsi="微软雅黑" w:eastAsia="微软雅黑"/>
          <w:b w:val="0"/>
          <w:color w:val="5B6B83"/>
          <w:sz w:val="21"/>
        </w:rPr>
        <w:t>登录、导出、删除、权限变更全程留痕，可按人、按时间、按模块检索。</w:t>
      </w:r>
    </w:p>
    <w:p>
      <w:pPr>
        <w:spacing w:after="60" w:line="372" w:lineRule="auto"/>
        <w:ind w:left="360"/>
      </w:pPr>
      <w:r>
        <w:rPr>
          <w:rFonts w:ascii="微软雅黑" w:hAnsi="微软雅黑" w:eastAsia="微软雅黑"/>
          <w:b/>
          <w:color w:val="B45309"/>
          <w:sz w:val="21"/>
        </w:rPr>
        <w:t xml:space="preserve">· </w:t>
      </w:r>
      <w:r>
        <w:rPr>
          <w:rFonts w:ascii="微软雅黑" w:hAnsi="微软雅黑" w:eastAsia="微软雅黑"/>
          <w:b/>
          <w:color w:val="0B1B33"/>
          <w:sz w:val="21"/>
        </w:rPr>
        <w:t>演示与生产隔离：</w:t>
      </w:r>
      <w:r>
        <w:rPr>
          <w:rFonts w:ascii="微软雅黑" w:hAnsi="微软雅黑" w:eastAsia="微软雅黑"/>
          <w:b w:val="0"/>
          <w:color w:val="5B6B83"/>
          <w:sz w:val="21"/>
        </w:rPr>
        <w:t>演示租户独立、数据为构造数据、可定期重置；生产环境按租户隔离。</w:t>
      </w:r>
    </w:p>
    <w:p>
      <w:pPr>
        <w:spacing w:after="60" w:line="372" w:lineRule="auto"/>
        <w:ind w:left="360"/>
      </w:pPr>
      <w:r>
        <w:rPr>
          <w:rFonts w:ascii="微软雅黑" w:hAnsi="微软雅黑" w:eastAsia="微软雅黑"/>
          <w:b/>
          <w:color w:val="B45309"/>
          <w:sz w:val="21"/>
        </w:rPr>
        <w:t xml:space="preserve">· </w:t>
      </w:r>
      <w:r>
        <w:rPr>
          <w:rFonts w:ascii="微软雅黑" w:hAnsi="微软雅黑" w:eastAsia="微软雅黑"/>
          <w:b/>
          <w:color w:val="0B1B33"/>
          <w:sz w:val="21"/>
        </w:rPr>
        <w:t>数据归属：</w:t>
      </w:r>
      <w:r>
        <w:rPr>
          <w:rFonts w:ascii="微软雅黑" w:hAnsi="微软雅黑" w:eastAsia="微软雅黑"/>
          <w:b w:val="0"/>
          <w:color w:val="5B6B83"/>
          <w:sz w:val="21"/>
        </w:rPr>
        <w:t>业务数据归客户所有，可结构化导出；合同终止可按约定导出全量数据并删除。</w:t>
      </w:r>
    </w:p>
    <w:p>
      <w:pPr>
        <w:spacing w:before="360" w:after="160"/>
        <w:pStyle w:val="Heading1"/>
        <w:pBdr>
          <w:bottom w:val="single" w:sz="12" w:space="4" w:color="F59E0B"/>
        </w:pBdr>
      </w:pPr>
      <w:r>
        <w:rPr>
          <w:rFonts w:ascii="微软雅黑" w:hAnsi="微软雅黑" w:eastAsia="微软雅黑"/>
          <w:b/>
          <w:color w:val="0B1B33"/>
          <w:sz w:val="32"/>
        </w:rPr>
        <w:t>十　实施与交付</w:t>
      </w:r>
    </w:p>
    <w:p>
      <w:pPr>
        <w:spacing w:before="0" w:after="120" w:line="396" w:lineRule="auto"/>
        <w:ind w:firstLine="420"/>
        <w:jc w:val="both"/>
      </w:pPr>
      <w:r>
        <w:rPr>
          <w:rFonts w:ascii="微软雅黑" w:hAnsi="微软雅黑" w:eastAsia="微软雅黑"/>
          <w:b w:val="0"/>
          <w:color w:val="0B1B33"/>
          <w:sz w:val="21"/>
        </w:rPr>
        <w:t>不追求一次性上线全部功能。先选一条最痛的主线，用真实数据跑一个月，再按项目复制。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296"/>
        <w:gridCol w:w="2296"/>
        <w:gridCol w:w="2296"/>
        <w:gridCol w:w="2296"/>
      </w:tblGrid>
      <w:tr>
        <w:tc>
          <w:tcPr>
            <w:tcW w:type="dxa" w:w="1474"/>
            <w:shd w:val="clear" w:color="auto" w:fill="0B1B33"/>
          </w:tcPr>
          <w:p>
            <w:pPr>
              <w:spacing w:before="40" w:after="40" w:line="324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color w:val="FFFFFF"/>
                <w:sz w:val="19"/>
              </w:rPr>
              <w:t>阶段</w:t>
            </w:r>
          </w:p>
        </w:tc>
        <w:tc>
          <w:tcPr>
            <w:tcW w:type="dxa" w:w="1247"/>
            <w:shd w:val="clear" w:color="auto" w:fill="0B1B33"/>
          </w:tcPr>
          <w:p>
            <w:pPr>
              <w:spacing w:before="40" w:after="40" w:line="324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color w:val="FFFFFF"/>
                <w:sz w:val="19"/>
              </w:rPr>
              <w:t>周期</w:t>
            </w:r>
          </w:p>
        </w:tc>
        <w:tc>
          <w:tcPr>
            <w:tcW w:type="dxa" w:w="4876"/>
            <w:shd w:val="clear" w:color="auto" w:fill="0B1B33"/>
          </w:tcPr>
          <w:p>
            <w:pPr>
              <w:spacing w:before="40" w:after="40" w:line="324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color w:val="FFFFFF"/>
                <w:sz w:val="19"/>
              </w:rPr>
              <w:t>关键动作</w:t>
            </w:r>
          </w:p>
        </w:tc>
        <w:tc>
          <w:tcPr>
            <w:tcW w:type="dxa" w:w="2381"/>
            <w:shd w:val="clear" w:color="auto" w:fill="0B1B33"/>
          </w:tcPr>
          <w:p>
            <w:pPr>
              <w:spacing w:before="40" w:after="40" w:line="324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color w:val="FFFFFF"/>
                <w:sz w:val="19"/>
              </w:rPr>
              <w:t>交付物</w:t>
            </w:r>
          </w:p>
        </w:tc>
      </w:tr>
      <w:tr>
        <w:tc>
          <w:tcPr>
            <w:tcW w:type="dxa" w:w="1474"/>
          </w:tcPr>
          <w:p>
            <w:pPr>
              <w:spacing w:before="40" w:after="40" w:line="324" w:lineRule="auto"/>
              <w:jc w:val="left"/>
            </w:pPr>
            <w:r/>
            <w:r>
              <w:rPr>
                <w:rFonts w:ascii="微软雅黑" w:hAnsi="微软雅黑" w:eastAsia="微软雅黑"/>
                <w:b/>
                <w:color w:val="0B1B33"/>
                <w:sz w:val="19"/>
              </w:rPr>
              <w:t>业务盘点</w:t>
            </w:r>
          </w:p>
        </w:tc>
        <w:tc>
          <w:tcPr>
            <w:tcW w:type="dxa" w:w="1247"/>
          </w:tcPr>
          <w:p>
            <w:pPr>
              <w:spacing w:before="40" w:after="40" w:line="324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color w:val="0B1B33"/>
                <w:sz w:val="19"/>
              </w:rPr>
              <w:t>2–3 天</w:t>
            </w:r>
          </w:p>
        </w:tc>
        <w:tc>
          <w:tcPr>
            <w:tcW w:type="dxa" w:w="4876"/>
          </w:tcPr>
          <w:p>
            <w:pPr>
              <w:spacing w:before="40" w:after="40" w:line="324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color w:val="0B1B33"/>
                <w:sz w:val="19"/>
              </w:rPr>
              <w:t>梳理台账、单据、审批与口径，确定第一条主线</w:t>
            </w:r>
          </w:p>
        </w:tc>
        <w:tc>
          <w:tcPr>
            <w:tcW w:type="dxa" w:w="2381"/>
          </w:tcPr>
          <w:p>
            <w:pPr>
              <w:spacing w:before="40" w:after="40" w:line="324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color w:val="0B1B33"/>
                <w:sz w:val="19"/>
              </w:rPr>
              <w:t>业务蓝图与字段对照表</w:t>
            </w:r>
          </w:p>
        </w:tc>
      </w:tr>
      <w:tr>
        <w:tc>
          <w:tcPr>
            <w:tcW w:type="dxa" w:w="1474"/>
            <w:shd w:val="clear" w:color="auto" w:fill="F5F8FD"/>
          </w:tcPr>
          <w:p>
            <w:pPr>
              <w:spacing w:before="40" w:after="40" w:line="324" w:lineRule="auto"/>
              <w:jc w:val="left"/>
            </w:pPr>
            <w:r/>
            <w:r>
              <w:rPr>
                <w:rFonts w:ascii="微软雅黑" w:hAnsi="微软雅黑" w:eastAsia="微软雅黑"/>
                <w:b/>
                <w:color w:val="0B1B33"/>
                <w:sz w:val="19"/>
              </w:rPr>
              <w:t>环境初始化</w:t>
            </w:r>
          </w:p>
        </w:tc>
        <w:tc>
          <w:tcPr>
            <w:tcW w:type="dxa" w:w="1247"/>
            <w:shd w:val="clear" w:color="auto" w:fill="F5F8FD"/>
          </w:tcPr>
          <w:p>
            <w:pPr>
              <w:spacing w:before="40" w:after="40" w:line="324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color w:val="0B1B33"/>
                <w:sz w:val="19"/>
              </w:rPr>
              <w:t>2–3 天</w:t>
            </w:r>
          </w:p>
        </w:tc>
        <w:tc>
          <w:tcPr>
            <w:tcW w:type="dxa" w:w="4876"/>
            <w:shd w:val="clear" w:color="auto" w:fill="F5F8FD"/>
          </w:tcPr>
          <w:p>
            <w:pPr>
              <w:spacing w:before="40" w:after="40" w:line="324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color w:val="0B1B33"/>
                <w:sz w:val="19"/>
              </w:rPr>
              <w:t>组织结构、项目、合同、往来单位、物资目录、班组人员、角色与数据权限</w:t>
            </w:r>
          </w:p>
        </w:tc>
        <w:tc>
          <w:tcPr>
            <w:tcW w:type="dxa" w:w="2381"/>
            <w:shd w:val="clear" w:color="auto" w:fill="F5F8FD"/>
          </w:tcPr>
          <w:p>
            <w:pPr>
              <w:spacing w:before="40" w:after="40" w:line="324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color w:val="0B1B33"/>
                <w:sz w:val="19"/>
              </w:rPr>
              <w:t>可用环境与初始化清单</w:t>
            </w:r>
          </w:p>
        </w:tc>
      </w:tr>
      <w:tr>
        <w:tc>
          <w:tcPr>
            <w:tcW w:type="dxa" w:w="1474"/>
          </w:tcPr>
          <w:p>
            <w:pPr>
              <w:spacing w:before="40" w:after="40" w:line="324" w:lineRule="auto"/>
              <w:jc w:val="left"/>
            </w:pPr>
            <w:r/>
            <w:r>
              <w:rPr>
                <w:rFonts w:ascii="微软雅黑" w:hAnsi="微软雅黑" w:eastAsia="微软雅黑"/>
                <w:b/>
                <w:color w:val="0B1B33"/>
                <w:sz w:val="19"/>
              </w:rPr>
              <w:t>试点运行</w:t>
            </w:r>
          </w:p>
        </w:tc>
        <w:tc>
          <w:tcPr>
            <w:tcW w:type="dxa" w:w="1247"/>
          </w:tcPr>
          <w:p>
            <w:pPr>
              <w:spacing w:before="40" w:after="40" w:line="324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color w:val="0B1B33"/>
                <w:sz w:val="19"/>
              </w:rPr>
              <w:t>2 周</w:t>
            </w:r>
          </w:p>
        </w:tc>
        <w:tc>
          <w:tcPr>
            <w:tcW w:type="dxa" w:w="4876"/>
          </w:tcPr>
          <w:p>
            <w:pPr>
              <w:spacing w:before="40" w:after="40" w:line="324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color w:val="0B1B33"/>
                <w:sz w:val="19"/>
              </w:rPr>
              <w:t>选 1 个在建项目完整跑一个月度，校准字段、流程与报表口径</w:t>
            </w:r>
          </w:p>
        </w:tc>
        <w:tc>
          <w:tcPr>
            <w:tcW w:type="dxa" w:w="2381"/>
          </w:tcPr>
          <w:p>
            <w:pPr>
              <w:spacing w:before="40" w:after="40" w:line="324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color w:val="0B1B33"/>
                <w:sz w:val="19"/>
              </w:rPr>
              <w:t>试点报告与口径确认单</w:t>
            </w:r>
          </w:p>
        </w:tc>
      </w:tr>
      <w:tr>
        <w:tc>
          <w:tcPr>
            <w:tcW w:type="dxa" w:w="1474"/>
            <w:shd w:val="clear" w:color="auto" w:fill="F5F8FD"/>
          </w:tcPr>
          <w:p>
            <w:pPr>
              <w:spacing w:before="40" w:after="40" w:line="324" w:lineRule="auto"/>
              <w:jc w:val="left"/>
            </w:pPr>
            <w:r/>
            <w:r>
              <w:rPr>
                <w:rFonts w:ascii="微软雅黑" w:hAnsi="微软雅黑" w:eastAsia="微软雅黑"/>
                <w:b/>
                <w:color w:val="0B1B33"/>
                <w:sz w:val="19"/>
              </w:rPr>
              <w:t>复制推广</w:t>
            </w:r>
          </w:p>
        </w:tc>
        <w:tc>
          <w:tcPr>
            <w:tcW w:type="dxa" w:w="1247"/>
            <w:shd w:val="clear" w:color="auto" w:fill="F5F8FD"/>
          </w:tcPr>
          <w:p>
            <w:pPr>
              <w:spacing w:before="40" w:after="40" w:line="324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color w:val="0B1B33"/>
                <w:sz w:val="19"/>
              </w:rPr>
              <w:t>2–4 周</w:t>
            </w:r>
          </w:p>
        </w:tc>
        <w:tc>
          <w:tcPr>
            <w:tcW w:type="dxa" w:w="4876"/>
            <w:shd w:val="clear" w:color="auto" w:fill="F5F8FD"/>
          </w:tcPr>
          <w:p>
            <w:pPr>
              <w:spacing w:before="40" w:after="40" w:line="324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color w:val="0B1B33"/>
                <w:sz w:val="19"/>
              </w:rPr>
              <w:t>模板复制到其他项目，开启扫码与移动填报，接入经营例会</w:t>
            </w:r>
          </w:p>
        </w:tc>
        <w:tc>
          <w:tcPr>
            <w:tcW w:type="dxa" w:w="2381"/>
            <w:shd w:val="clear" w:color="auto" w:fill="F5F8FD"/>
          </w:tcPr>
          <w:p>
            <w:pPr>
              <w:spacing w:before="40" w:after="40" w:line="324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color w:val="0B1B33"/>
                <w:sz w:val="19"/>
              </w:rPr>
              <w:t>推广计划与培训材料</w:t>
            </w:r>
          </w:p>
        </w:tc>
      </w:tr>
      <w:tr>
        <w:tc>
          <w:tcPr>
            <w:tcW w:type="dxa" w:w="1474"/>
          </w:tcPr>
          <w:p>
            <w:pPr>
              <w:spacing w:before="40" w:after="40" w:line="324" w:lineRule="auto"/>
              <w:jc w:val="left"/>
            </w:pPr>
            <w:r/>
            <w:r>
              <w:rPr>
                <w:rFonts w:ascii="微软雅黑" w:hAnsi="微软雅黑" w:eastAsia="微软雅黑"/>
                <w:b/>
                <w:color w:val="0B1B33"/>
                <w:sz w:val="19"/>
              </w:rPr>
              <w:t>持续优化</w:t>
            </w:r>
          </w:p>
        </w:tc>
        <w:tc>
          <w:tcPr>
            <w:tcW w:type="dxa" w:w="1247"/>
          </w:tcPr>
          <w:p>
            <w:pPr>
              <w:spacing w:before="40" w:after="40" w:line="324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color w:val="0B1B33"/>
                <w:sz w:val="19"/>
              </w:rPr>
              <w:t>长期</w:t>
            </w:r>
          </w:p>
        </w:tc>
        <w:tc>
          <w:tcPr>
            <w:tcW w:type="dxa" w:w="4876"/>
          </w:tcPr>
          <w:p>
            <w:pPr>
              <w:spacing w:before="40" w:after="40" w:line="324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color w:val="0B1B33"/>
                <w:sz w:val="19"/>
              </w:rPr>
              <w:t>季度复盘指标口径，新增看板与预警规则，随版本升级</w:t>
            </w:r>
          </w:p>
        </w:tc>
        <w:tc>
          <w:tcPr>
            <w:tcW w:type="dxa" w:w="2381"/>
          </w:tcPr>
          <w:p>
            <w:pPr>
              <w:spacing w:before="40" w:after="40" w:line="324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color w:val="0B1B33"/>
                <w:sz w:val="19"/>
              </w:rPr>
              <w:t>季度复盘与优化清单</w:t>
            </w:r>
          </w:p>
        </w:tc>
      </w:tr>
    </w:tbl>
    <w:p>
      <w:pPr>
        <w:spacing w:after="40"/>
      </w:pPr>
    </w:p>
    <w:p>
      <w:pPr>
        <w:pStyle w:val="Heading2"/>
        <w:spacing w:before="240" w:after="100"/>
      </w:pPr>
      <w:r>
        <w:rPr>
          <w:rFonts w:ascii="微软雅黑" w:hAnsi="微软雅黑" w:eastAsia="微软雅黑"/>
          <w:b/>
          <w:color w:val="1D4ED8"/>
          <w:sz w:val="24"/>
        </w:rPr>
        <w:t>10.1 培训与迁移</w:t>
      </w:r>
    </w:p>
    <w:p>
      <w:pPr>
        <w:spacing w:after="60" w:line="372" w:lineRule="auto"/>
        <w:ind w:left="360"/>
      </w:pPr>
      <w:r>
        <w:rPr>
          <w:rFonts w:ascii="微软雅黑" w:hAnsi="微软雅黑" w:eastAsia="微软雅黑"/>
          <w:b/>
          <w:color w:val="B45309"/>
          <w:sz w:val="21"/>
        </w:rPr>
        <w:t xml:space="preserve">· </w:t>
      </w:r>
      <w:r>
        <w:rPr>
          <w:rFonts w:ascii="微软雅黑" w:hAnsi="微软雅黑" w:eastAsia="微软雅黑"/>
          <w:b/>
          <w:color w:val="0B1B33"/>
          <w:sz w:val="21"/>
        </w:rPr>
        <w:t>培训方式：</w:t>
      </w:r>
      <w:r>
        <w:rPr>
          <w:rFonts w:ascii="微软雅黑" w:hAnsi="微软雅黑" w:eastAsia="微软雅黑"/>
          <w:b w:val="0"/>
          <w:color w:val="5B6B83"/>
          <w:sz w:val="21"/>
        </w:rPr>
        <w:t>按角色分场：管理层看分析、业务口看单据、现场看移动端；提供录屏与操作手册。</w:t>
      </w:r>
    </w:p>
    <w:p>
      <w:pPr>
        <w:spacing w:after="60" w:line="372" w:lineRule="auto"/>
        <w:ind w:left="360"/>
      </w:pPr>
      <w:r>
        <w:rPr>
          <w:rFonts w:ascii="微软雅黑" w:hAnsi="微软雅黑" w:eastAsia="微软雅黑"/>
          <w:b/>
          <w:color w:val="B45309"/>
          <w:sz w:val="21"/>
        </w:rPr>
        <w:t xml:space="preserve">· </w:t>
      </w:r>
      <w:r>
        <w:rPr>
          <w:rFonts w:ascii="微软雅黑" w:hAnsi="微软雅黑" w:eastAsia="微软雅黑"/>
          <w:b/>
          <w:color w:val="0B1B33"/>
          <w:sz w:val="21"/>
        </w:rPr>
        <w:t>数据迁移：</w:t>
      </w:r>
      <w:r>
        <w:rPr>
          <w:rFonts w:ascii="微软雅黑" w:hAnsi="微软雅黑" w:eastAsia="微软雅黑"/>
          <w:b w:val="0"/>
          <w:color w:val="5B6B83"/>
          <w:sz w:val="21"/>
        </w:rPr>
        <w:t>支持从 Excel 台账导入项目、合同、往来单位、物资目录与期初库存，按模板校验。</w:t>
      </w:r>
    </w:p>
    <w:p>
      <w:pPr>
        <w:pStyle w:val="Heading2"/>
        <w:spacing w:before="240" w:after="100"/>
      </w:pPr>
      <w:r>
        <w:rPr>
          <w:rFonts w:ascii="微软雅黑" w:hAnsi="微软雅黑" w:eastAsia="微软雅黑"/>
          <w:b/>
          <w:color w:val="1D4ED8"/>
          <w:sz w:val="24"/>
        </w:rPr>
        <w:t>10.2 服务承诺</w:t>
      </w:r>
    </w:p>
    <w:p>
      <w:pPr>
        <w:spacing w:after="60" w:line="372" w:lineRule="auto"/>
        <w:ind w:left="360"/>
      </w:pPr>
      <w:r>
        <w:rPr>
          <w:rFonts w:ascii="微软雅黑" w:hAnsi="微软雅黑" w:eastAsia="微软雅黑"/>
          <w:b/>
          <w:color w:val="B45309"/>
          <w:sz w:val="21"/>
        </w:rPr>
        <w:t xml:space="preserve">· </w:t>
      </w:r>
      <w:r>
        <w:rPr>
          <w:rFonts w:ascii="微软雅黑" w:hAnsi="微软雅黑" w:eastAsia="微软雅黑"/>
          <w:b/>
          <w:color w:val="0B1B33"/>
          <w:sz w:val="21"/>
        </w:rPr>
        <w:t>响应时效：</w:t>
      </w:r>
      <w:r>
        <w:rPr>
          <w:rFonts w:ascii="微软雅黑" w:hAnsi="微软雅黑" w:eastAsia="微软雅黑"/>
          <w:b w:val="0"/>
          <w:color w:val="5B6B83"/>
          <w:sz w:val="21"/>
        </w:rPr>
        <w:t>工作日 4 小时内响应；月结、投标、审计等关键节点提供专项支持。</w:t>
      </w:r>
    </w:p>
    <w:p>
      <w:pPr>
        <w:spacing w:after="60" w:line="372" w:lineRule="auto"/>
        <w:ind w:left="360"/>
      </w:pPr>
      <w:r>
        <w:rPr>
          <w:rFonts w:ascii="微软雅黑" w:hAnsi="微软雅黑" w:eastAsia="微软雅黑"/>
          <w:b/>
          <w:color w:val="B45309"/>
          <w:sz w:val="21"/>
        </w:rPr>
        <w:t xml:space="preserve">· </w:t>
      </w:r>
      <w:r>
        <w:rPr>
          <w:rFonts w:ascii="微软雅黑" w:hAnsi="微软雅黑" w:eastAsia="微软雅黑"/>
          <w:b/>
          <w:color w:val="0B1B33"/>
          <w:sz w:val="21"/>
        </w:rPr>
        <w:t>版本升级：</w:t>
      </w:r>
      <w:r>
        <w:rPr>
          <w:rFonts w:ascii="微软雅黑" w:hAnsi="微软雅黑" w:eastAsia="微软雅黑"/>
          <w:b w:val="0"/>
          <w:color w:val="5B6B83"/>
          <w:sz w:val="21"/>
        </w:rPr>
        <w:t>版本持续迭代，功能清单与资料随版本同步更新。</w:t>
      </w:r>
    </w:p>
    <w:p>
      <w:pPr>
        <w:spacing w:before="360" w:after="160"/>
        <w:pStyle w:val="Heading1"/>
        <w:pBdr>
          <w:bottom w:val="single" w:sz="12" w:space="4" w:color="F59E0B"/>
        </w:pBdr>
      </w:pPr>
      <w:r>
        <w:rPr>
          <w:rFonts w:ascii="微软雅黑" w:hAnsi="微软雅黑" w:eastAsia="微软雅黑"/>
          <w:b/>
          <w:color w:val="0B1B33"/>
          <w:sz w:val="32"/>
        </w:rPr>
        <w:t>十一　常见问题</w:t>
      </w:r>
    </w:p>
    <w:p>
      <w:pPr>
        <w:pStyle w:val="Heading2"/>
        <w:spacing w:before="240" w:after="100"/>
      </w:pPr>
      <w:r>
        <w:rPr>
          <w:rFonts w:ascii="微软雅黑" w:hAnsi="微软雅黑" w:eastAsia="微软雅黑"/>
          <w:b/>
          <w:color w:val="1D4ED8"/>
          <w:sz w:val="24"/>
        </w:rPr>
        <w:t>Q：适合什么规模的施工企业？</w:t>
      </w:r>
    </w:p>
    <w:p>
      <w:pPr>
        <w:spacing w:before="0" w:after="120" w:line="396" w:lineRule="auto"/>
        <w:ind w:firstLine="420"/>
        <w:jc w:val="both"/>
      </w:pPr>
      <w:r>
        <w:rPr>
          <w:rFonts w:ascii="微软雅黑" w:hAnsi="微软雅黑" w:eastAsia="微软雅黑"/>
          <w:b w:val="0"/>
          <w:color w:val="0B1B33"/>
          <w:sz w:val="21"/>
        </w:rPr>
        <w:t>A：主要面向年产值 3000 万至 10 亿元的施工企业，覆盖房建总包、市政路桥、钢结构厂房、装饰装修、机电安装与园林养护。既可以单项目起步，也可以多项目、多分公司并行，按项目集划分数据权限。</w:t>
      </w:r>
    </w:p>
    <w:p>
      <w:pPr>
        <w:pStyle w:val="Heading2"/>
        <w:spacing w:before="240" w:after="100"/>
      </w:pPr>
      <w:r>
        <w:rPr>
          <w:rFonts w:ascii="微软雅黑" w:hAnsi="微软雅黑" w:eastAsia="微软雅黑"/>
          <w:b/>
          <w:color w:val="1D4ED8"/>
          <w:sz w:val="24"/>
        </w:rPr>
        <w:t>Q：和通用 ERP、Excel 台账有什么区别？</w:t>
      </w:r>
    </w:p>
    <w:p>
      <w:pPr>
        <w:spacing w:before="0" w:after="120" w:line="396" w:lineRule="auto"/>
        <w:ind w:firstLine="420"/>
        <w:jc w:val="both"/>
      </w:pPr>
      <w:r>
        <w:rPr>
          <w:rFonts w:ascii="微软雅黑" w:hAnsi="微软雅黑" w:eastAsia="微软雅黑"/>
          <w:b w:val="0"/>
          <w:color w:val="0B1B33"/>
          <w:sz w:val="21"/>
        </w:rPr>
        <w:t>A：通用 ERP 往往从财务凭证出发，Excel 台账各管一段。工程管家从项目主档出发，合同、变更、结算、收款、成本、物资、劳务都挂在同一项目下，15 条跨模块联动自动带上下游数据。</w:t>
      </w:r>
    </w:p>
    <w:p>
      <w:pPr>
        <w:pStyle w:val="Heading2"/>
        <w:spacing w:before="240" w:after="100"/>
      </w:pPr>
      <w:r>
        <w:rPr>
          <w:rFonts w:ascii="微软雅黑" w:hAnsi="微软雅黑" w:eastAsia="微软雅黑"/>
          <w:b/>
          <w:color w:val="1D4ED8"/>
          <w:sz w:val="24"/>
        </w:rPr>
        <w:t>Q：上线要多久？需要多少人配合？</w:t>
      </w:r>
    </w:p>
    <w:p>
      <w:pPr>
        <w:spacing w:before="0" w:after="120" w:line="396" w:lineRule="auto"/>
        <w:ind w:firstLine="420"/>
        <w:jc w:val="both"/>
      </w:pPr>
      <w:r>
        <w:rPr>
          <w:rFonts w:ascii="微软雅黑" w:hAnsi="微软雅黑" w:eastAsia="微软雅黑"/>
          <w:b w:val="0"/>
          <w:color w:val="0B1B33"/>
          <w:sz w:val="21"/>
        </w:rPr>
        <w:t>A：第一条业务线通常 2 周内可上线试点：1 周梳理口径与初始化，1 周并行跑一个月度。客户侧一般由经营/成本负责人牵头，物资、劳务、财务各 1 名关键用户参与即可。</w:t>
      </w:r>
    </w:p>
    <w:p>
      <w:pPr>
        <w:pStyle w:val="Heading2"/>
        <w:spacing w:before="240" w:after="100"/>
      </w:pPr>
      <w:r>
        <w:rPr>
          <w:rFonts w:ascii="微软雅黑" w:hAnsi="微软雅黑" w:eastAsia="微软雅黑"/>
          <w:b/>
          <w:color w:val="1D4ED8"/>
          <w:sz w:val="24"/>
        </w:rPr>
        <w:t>Q：数据安全和权限怎么控制？</w:t>
      </w:r>
    </w:p>
    <w:p>
      <w:pPr>
        <w:spacing w:before="0" w:after="120" w:line="396" w:lineRule="auto"/>
        <w:ind w:firstLine="420"/>
        <w:jc w:val="both"/>
      </w:pPr>
      <w:r>
        <w:rPr>
          <w:rFonts w:ascii="微软雅黑" w:hAnsi="微软雅黑" w:eastAsia="微软雅黑"/>
          <w:b w:val="0"/>
          <w:color w:val="0B1B33"/>
          <w:sz w:val="21"/>
        </w:rPr>
        <w:t>A：支持角色权限矩阵、数据权限项目集、敏感字段授权与操作日志。项目部只能看到自己项目，分公司看辖区，管理层看汇总；敏感单价与工资数据可单独授权。</w:t>
      </w:r>
    </w:p>
    <w:p>
      <w:pPr>
        <w:pStyle w:val="Heading2"/>
        <w:spacing w:before="240" w:after="100"/>
      </w:pPr>
      <w:r>
        <w:rPr>
          <w:rFonts w:ascii="微软雅黑" w:hAnsi="微软雅黑" w:eastAsia="微软雅黑"/>
          <w:b/>
          <w:color w:val="1D4ED8"/>
          <w:sz w:val="24"/>
        </w:rPr>
        <w:t>Q：是否需要安装客户端？</w:t>
      </w:r>
    </w:p>
    <w:p>
      <w:pPr>
        <w:spacing w:before="0" w:after="120" w:line="396" w:lineRule="auto"/>
        <w:ind w:firstLine="420"/>
        <w:jc w:val="both"/>
      </w:pPr>
      <w:r>
        <w:rPr>
          <w:rFonts w:ascii="微软雅黑" w:hAnsi="微软雅黑" w:eastAsia="微软雅黑"/>
          <w:b w:val="0"/>
          <w:color w:val="0B1B33"/>
          <w:sz w:val="21"/>
        </w:rPr>
        <w:t>A：不需要。PC 端用浏览器访问，移动端通过 H5 使用，扫码出入库、现场检查、审批在手机上完成。</w:t>
      </w:r>
    </w:p>
    <w:p>
      <w:pPr>
        <w:pStyle w:val="Heading2"/>
        <w:spacing w:before="240" w:after="100"/>
      </w:pPr>
      <w:r>
        <w:rPr>
          <w:rFonts w:ascii="微软雅黑" w:hAnsi="微软雅黑" w:eastAsia="微软雅黑"/>
          <w:b/>
          <w:color w:val="1D4ED8"/>
          <w:sz w:val="24"/>
        </w:rPr>
        <w:t>Q：能不能先试用再决定？</w:t>
      </w:r>
    </w:p>
    <w:p>
      <w:pPr>
        <w:spacing w:before="0" w:after="120" w:line="396" w:lineRule="auto"/>
        <w:ind w:firstLine="420"/>
        <w:jc w:val="both"/>
      </w:pPr>
      <w:r>
        <w:rPr>
          <w:rFonts w:ascii="微软雅黑" w:hAnsi="微软雅黑" w:eastAsia="微软雅黑"/>
          <w:b w:val="0"/>
          <w:color w:val="0B1B33"/>
          <w:sz w:val="21"/>
        </w:rPr>
        <w:t>A：可以。在线演示环境已开放完整业务数据，免安装、浏览器直接使用；也可以联系我们按你的业态准备一套演示数据，约 15 分钟线上讲解。</w:t>
      </w:r>
    </w:p>
    <w:p>
      <w:pPr>
        <w:spacing w:before="360" w:after="160"/>
        <w:pStyle w:val="Heading1"/>
        <w:pBdr>
          <w:bottom w:val="single" w:sz="12" w:space="4" w:color="F59E0B"/>
        </w:pBdr>
      </w:pPr>
      <w:r>
        <w:rPr>
          <w:rFonts w:ascii="微软雅黑" w:hAnsi="微软雅黑" w:eastAsia="微软雅黑"/>
          <w:b/>
          <w:color w:val="0B1B33"/>
          <w:sz w:val="32"/>
        </w:rPr>
        <w:t>十二　联系我们</w:t>
      </w:r>
    </w:p>
    <w:p>
      <w:pPr>
        <w:spacing w:before="0" w:after="120" w:line="396" w:lineRule="auto"/>
        <w:ind w:firstLine="420"/>
        <w:jc w:val="both"/>
      </w:pPr>
      <w:r>
        <w:rPr>
          <w:rFonts w:ascii="微软雅黑" w:hAnsi="微软雅黑" w:eastAsia="微软雅黑"/>
          <w:b w:val="0"/>
          <w:color w:val="0B1B33"/>
          <w:sz w:val="21"/>
        </w:rPr>
        <w:t>看演示、要资料、谈方案，都可以直接联系。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592"/>
        <w:gridCol w:w="4592"/>
      </w:tblGrid>
      <w:tr>
        <w:tc>
          <w:tcPr>
            <w:tcW w:type="dxa" w:w="2268"/>
            <w:shd w:val="clear" w:color="auto" w:fill="0B1B33"/>
          </w:tcPr>
          <w:p>
            <w:pPr>
              <w:spacing w:before="40" w:after="40" w:line="324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color w:val="FFFFFF"/>
                <w:sz w:val="19"/>
              </w:rPr>
              <w:t>项目</w:t>
            </w:r>
          </w:p>
        </w:tc>
        <w:tc>
          <w:tcPr>
            <w:tcW w:type="dxa" w:w="6803"/>
            <w:shd w:val="clear" w:color="auto" w:fill="0B1B33"/>
          </w:tcPr>
          <w:p>
            <w:pPr>
              <w:spacing w:before="40" w:after="40" w:line="324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color w:val="FFFFFF"/>
                <w:sz w:val="19"/>
              </w:rPr>
              <w:t>信息</w:t>
            </w:r>
          </w:p>
        </w:tc>
      </w:tr>
      <w:tr>
        <w:tc>
          <w:tcPr>
            <w:tcW w:type="dxa" w:w="2268"/>
          </w:tcPr>
          <w:p>
            <w:pPr>
              <w:spacing w:before="40" w:after="40" w:line="324" w:lineRule="auto"/>
              <w:jc w:val="left"/>
            </w:pPr>
            <w:r/>
            <w:r>
              <w:rPr>
                <w:rFonts w:ascii="微软雅黑" w:hAnsi="微软雅黑" w:eastAsia="微软雅黑"/>
                <w:b/>
                <w:color w:val="0B1B33"/>
                <w:sz w:val="19"/>
              </w:rPr>
              <w:t>商务电话 / 微信</w:t>
            </w:r>
          </w:p>
        </w:tc>
        <w:tc>
          <w:tcPr>
            <w:tcW w:type="dxa" w:w="6803"/>
          </w:tcPr>
          <w:p>
            <w:pPr>
              <w:spacing w:before="40" w:after="40" w:line="324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color w:val="0B1B33"/>
                <w:sz w:val="19"/>
              </w:rPr>
              <w:t>18016313342（微信同号）</w:t>
            </w:r>
          </w:p>
        </w:tc>
      </w:tr>
      <w:tr>
        <w:tc>
          <w:tcPr>
            <w:tcW w:type="dxa" w:w="2268"/>
            <w:shd w:val="clear" w:color="auto" w:fill="F5F8FD"/>
          </w:tcPr>
          <w:p>
            <w:pPr>
              <w:spacing w:before="40" w:after="40" w:line="324" w:lineRule="auto"/>
              <w:jc w:val="left"/>
            </w:pPr>
            <w:r/>
            <w:r>
              <w:rPr>
                <w:rFonts w:ascii="微软雅黑" w:hAnsi="微软雅黑" w:eastAsia="微软雅黑"/>
                <w:b/>
                <w:color w:val="0B1B33"/>
                <w:sz w:val="19"/>
              </w:rPr>
              <w:t>邮箱</w:t>
            </w:r>
          </w:p>
        </w:tc>
        <w:tc>
          <w:tcPr>
            <w:tcW w:type="dxa" w:w="6803"/>
            <w:shd w:val="clear" w:color="auto" w:fill="F5F8FD"/>
          </w:tcPr>
          <w:p>
            <w:pPr>
              <w:spacing w:before="40" w:after="40" w:line="324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color w:val="0B1B33"/>
                <w:sz w:val="19"/>
              </w:rPr>
              <w:t>cooper@micount.cn</w:t>
            </w:r>
          </w:p>
        </w:tc>
      </w:tr>
      <w:tr>
        <w:tc>
          <w:tcPr>
            <w:tcW w:type="dxa" w:w="2268"/>
          </w:tcPr>
          <w:p>
            <w:pPr>
              <w:spacing w:before="40" w:after="40" w:line="324" w:lineRule="auto"/>
              <w:jc w:val="left"/>
            </w:pPr>
            <w:r/>
            <w:r>
              <w:rPr>
                <w:rFonts w:ascii="微软雅黑" w:hAnsi="微软雅黑" w:eastAsia="微软雅黑"/>
                <w:b/>
                <w:color w:val="0B1B33"/>
                <w:sz w:val="19"/>
              </w:rPr>
              <w:t>公司地址</w:t>
            </w:r>
          </w:p>
        </w:tc>
        <w:tc>
          <w:tcPr>
            <w:tcW w:type="dxa" w:w="6803"/>
          </w:tcPr>
          <w:p>
            <w:pPr>
              <w:spacing w:before="40" w:after="40" w:line="324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color w:val="0B1B33"/>
                <w:sz w:val="19"/>
              </w:rPr>
              <w:t>上海市静安区汶水路 480 号（鑫森园区）103 号</w:t>
            </w:r>
          </w:p>
        </w:tc>
      </w:tr>
      <w:tr>
        <w:tc>
          <w:tcPr>
            <w:tcW w:type="dxa" w:w="2268"/>
            <w:shd w:val="clear" w:color="auto" w:fill="F5F8FD"/>
          </w:tcPr>
          <w:p>
            <w:pPr>
              <w:spacing w:before="40" w:after="40" w:line="324" w:lineRule="auto"/>
              <w:jc w:val="left"/>
            </w:pPr>
            <w:r/>
            <w:r>
              <w:rPr>
                <w:rFonts w:ascii="微软雅黑" w:hAnsi="微软雅黑" w:eastAsia="微软雅黑"/>
                <w:b/>
                <w:color w:val="0B1B33"/>
                <w:sz w:val="19"/>
              </w:rPr>
              <w:t>在线演示</w:t>
            </w:r>
          </w:p>
        </w:tc>
        <w:tc>
          <w:tcPr>
            <w:tcW w:type="dxa" w:w="6803"/>
            <w:shd w:val="clear" w:color="auto" w:fill="F5F8FD"/>
          </w:tcPr>
          <w:p>
            <w:pPr>
              <w:spacing w:before="40" w:after="40" w:line="324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color w:val="0B1B33"/>
                <w:sz w:val="19"/>
              </w:rPr>
              <w:t>https://p.zerocod.cn/gongcheng-guanjia/</w:t>
            </w:r>
          </w:p>
        </w:tc>
      </w:tr>
      <w:tr>
        <w:tc>
          <w:tcPr>
            <w:tcW w:type="dxa" w:w="2268"/>
          </w:tcPr>
          <w:p>
            <w:pPr>
              <w:spacing w:before="40" w:after="40" w:line="324" w:lineRule="auto"/>
              <w:jc w:val="left"/>
            </w:pPr>
            <w:r/>
            <w:r>
              <w:rPr>
                <w:rFonts w:ascii="微软雅黑" w:hAnsi="微软雅黑" w:eastAsia="微软雅黑"/>
                <w:b/>
                <w:color w:val="0B1B33"/>
                <w:sz w:val="19"/>
              </w:rPr>
              <w:t>产品官网</w:t>
            </w:r>
          </w:p>
        </w:tc>
        <w:tc>
          <w:tcPr>
            <w:tcW w:type="dxa" w:w="6803"/>
          </w:tcPr>
          <w:p>
            <w:pPr>
              <w:spacing w:before="40" w:after="40" w:line="324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color w:val="0B1B33"/>
                <w:sz w:val="19"/>
              </w:rPr>
              <w:t>https://p.zerocod.cn/gongcheng-guanjia/intro/</w:t>
            </w:r>
          </w:p>
        </w:tc>
      </w:tr>
      <w:tr>
        <w:tc>
          <w:tcPr>
            <w:tcW w:type="dxa" w:w="2268"/>
            <w:shd w:val="clear" w:color="auto" w:fill="F5F8FD"/>
          </w:tcPr>
          <w:p>
            <w:pPr>
              <w:spacing w:before="40" w:after="40" w:line="324" w:lineRule="auto"/>
              <w:jc w:val="left"/>
            </w:pPr>
            <w:r/>
            <w:r>
              <w:rPr>
                <w:rFonts w:ascii="微软雅黑" w:hAnsi="微软雅黑" w:eastAsia="微软雅黑"/>
                <w:b/>
                <w:color w:val="0B1B33"/>
                <w:sz w:val="19"/>
              </w:rPr>
              <w:t>服务时间</w:t>
            </w:r>
          </w:p>
        </w:tc>
        <w:tc>
          <w:tcPr>
            <w:tcW w:type="dxa" w:w="6803"/>
            <w:shd w:val="clear" w:color="auto" w:fill="F5F8FD"/>
          </w:tcPr>
          <w:p>
            <w:pPr>
              <w:spacing w:before="40" w:after="40" w:line="324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color w:val="0B1B33"/>
                <w:sz w:val="19"/>
              </w:rPr>
              <w:t>周一至周六 09:00–18:00</w:t>
            </w:r>
          </w:p>
        </w:tc>
      </w:tr>
      <w:tr>
        <w:tc>
          <w:tcPr>
            <w:tcW w:type="dxa" w:w="2268"/>
          </w:tcPr>
          <w:p>
            <w:pPr>
              <w:spacing w:before="40" w:after="40" w:line="324" w:lineRule="auto"/>
              <w:jc w:val="left"/>
            </w:pPr>
            <w:r/>
            <w:r>
              <w:rPr>
                <w:rFonts w:ascii="微软雅黑" w:hAnsi="微软雅黑" w:eastAsia="微软雅黑"/>
                <w:b/>
                <w:color w:val="0B1B33"/>
                <w:sz w:val="19"/>
              </w:rPr>
              <w:t>服务范围</w:t>
            </w:r>
          </w:p>
        </w:tc>
        <w:tc>
          <w:tcPr>
            <w:tcW w:type="dxa" w:w="6803"/>
          </w:tcPr>
          <w:p>
            <w:pPr>
              <w:spacing w:before="40" w:after="40" w:line="324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color w:val="0B1B33"/>
                <w:sz w:val="19"/>
              </w:rPr>
              <w:t>全国（远程实施为主，长三角可上门）</w:t>
            </w:r>
          </w:p>
        </w:tc>
      </w:tr>
    </w:tbl>
    <w:p>
      <w:pPr>
        <w:spacing w:after="40"/>
      </w:pPr>
    </w:p>
    <w:p>
      <w:pPr>
        <w:spacing w:before="0" w:after="120" w:line="396" w:lineRule="auto"/>
        <w:ind w:firstLine="420"/>
        <w:jc w:val="both"/>
      </w:pPr>
      <w:r>
        <w:rPr>
          <w:rFonts w:ascii="微软雅黑" w:hAnsi="微软雅黑" w:eastAsia="微软雅黑"/>
          <w:b w:val="0"/>
          <w:color w:val="0B1B33"/>
          <w:sz w:val="21"/>
        </w:rPr>
      </w:r>
    </w:p>
    <w:p>
      <w:pPr>
        <w:jc w:val="center"/>
      </w:pPr>
      <w:r>
        <w:rPr>
          <w:rFonts w:ascii="微软雅黑" w:hAnsi="微软雅黑" w:eastAsia="微软雅黑"/>
          <w:b/>
          <w:color w:val="0B1B33"/>
          <w:sz w:val="26"/>
        </w:rPr>
        <w:t>让每个项目都算得清</w:t>
      </w:r>
    </w:p>
    <w:p>
      <w:pPr>
        <w:jc w:val="center"/>
      </w:pPr>
      <w:r>
        <w:rPr>
          <w:rFonts w:ascii="微软雅黑" w:hAnsi="微软雅黑" w:eastAsia="微软雅黑"/>
          <w:b w:val="0"/>
          <w:color w:val="5B6B83"/>
          <w:sz w:val="18"/>
        </w:rPr>
        <w:t>上海思扬信息科技有限公司　·　算数科技 技术平台　·　算数·工程管家 v1.16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247" w:right="1361" w:bottom="1134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微软雅黑" w:hAnsi="微软雅黑" w:eastAsia="微软雅黑"/>
        <w:b w:val="0"/>
        <w:color w:val="8C9BB0"/>
        <w:sz w:val="16"/>
      </w:rPr>
      <w:t xml:space="preserve">上海思扬信息科技有限公司　·　算数科技 技术平台　·　18016313342（微信同号）　　</w:t>
    </w:r>
    <w:fldSimple w:instr=" PAGE ">
      <w:r>
        <w:rPr>
          <w:rFonts w:ascii="微软雅黑" w:hAnsi="微软雅黑" w:eastAsia="微软雅黑"/>
          <w:color w:val="8C9BB0"/>
          <w:sz w:val="16"/>
        </w:rPr>
        <w:t>1</w:t>
      </w:r>
    </w:fldSimple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微软雅黑" w:hAnsi="微软雅黑" w:eastAsia="微软雅黑"/>
        <w:b w:val="0"/>
        <w:color w:val="8C9BB0"/>
        <w:sz w:val="17"/>
      </w:rPr>
      <w:t>算数·工程管家　产品宣传手册　v1.16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微软雅黑" w:hAnsi="微软雅黑" w:eastAsia="微软雅黑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