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900"/>
        <w:jc w:val="center"/>
      </w:pPr>
      <w:r>
        <w:drawing>
          <wp:inline distT="0" distB="0" distL="0" distR="0">
            <wp:extent cx="838200" cy="838200"/>
            <wp:effectExtent t="0" r="0" b="0" l="0"/>
            <wp:docPr id="1" name="logo" descr="品牌标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微软雅黑" w:cs="微软雅黑" w:eastAsia="微软雅黑" w:hAnsi="微软雅黑"/>
          <w:b/>
          <w:bCs/>
          <w:color w:val="0D3D47"/>
          <w:sz w:val="52"/>
          <w:szCs w:val="52"/>
        </w:rPr>
        <w:t xml:space="preserve">报废汽车回收拆解管理系统</w:t>
      </w:r>
    </w:p>
    <w:p>
      <w:pPr>
        <w:spacing w:after="320"/>
        <w:jc w:val="center"/>
      </w:pPr>
      <w:r>
        <w:rPr>
          <w:rFonts w:ascii="微软雅黑" w:cs="微软雅黑" w:eastAsia="微软雅黑" w:hAnsi="微软雅黑"/>
          <w:color w:val="0E7C86"/>
          <w:sz w:val="30"/>
          <w:szCs w:val="30"/>
        </w:rPr>
        <w:t xml:space="preserve">宣传手册</w:t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color w:val="2E4A52"/>
          <w:sz w:val="22"/>
          <w:szCs w:val="22"/>
        </w:rPr>
        <w:t xml:space="preserve">一车一档、一单到底：报废车从进厂过磅到拆解产物卖出，账实一致</w:t>
      </w:r>
    </w:p>
    <w:p>
      <w:pPr>
        <w:spacing w:after="240"/>
        <w:jc w:val="center"/>
      </w:pPr>
      <w:r>
        <w:rPr>
          <w:rFonts w:ascii="微软雅黑" w:cs="微软雅黑" w:eastAsia="微软雅黑" w:hAnsi="微软雅黑"/>
          <w:color w:val="6F8791"/>
          <w:sz w:val="20"/>
          <w:szCs w:val="20"/>
        </w:rPr>
        <w:t xml:space="preserve">13 个业务模块 · 91 个功能点 · 电脑与手机同一套数据</w:t>
      </w:r>
    </w:p>
    <w:p>
      <w:pPr>
        <w:spacing w:after="60" w:before="120"/>
        <w:jc w:val="center"/>
      </w:pPr>
      <w:r>
        <w:drawing>
          <wp:inline distT="0" distB="0" distL="0" distR="0">
            <wp:extent cx="5905500" cy="3324225"/>
            <wp:effectExtent t="0" r="0" b="0" l="0"/>
            <wp:docPr id="2" name="scene-yard" descr="scene-yard" title="scene-y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600"/>
        <w:jc w:val="center"/>
      </w:pPr>
      <w:r>
        <w:rPr>
          <w:rFonts w:ascii="微软雅黑" w:cs="微软雅黑" w:eastAsia="微软雅黑" w:hAnsi="微软雅黑"/>
          <w:b/>
          <w:bCs/>
          <w:color w:val="0D3D47"/>
          <w:sz w:val="22"/>
          <w:szCs w:val="22"/>
        </w:rPr>
        <w:t xml:space="preserve">上海思扬信息科技有限公司（算数科技）</w:t>
      </w:r>
    </w:p>
    <w:p>
      <w:pPr>
        <w:spacing w:after="0"/>
        <w:jc w:val="center"/>
      </w:pPr>
      <w:r>
        <w:rPr>
          <w:rFonts w:ascii="微软雅黑" w:cs="微软雅黑" w:eastAsia="微软雅黑" w:hAnsi="微软雅黑"/>
          <w:color w:val="6F8791"/>
          <w:sz w:val="19"/>
          <w:szCs w:val="19"/>
        </w:rPr>
        <w:t xml:space="preserve">18016313342（微信同号）　·　https://zerocod.cn/　·　2026-10-09</w:t>
      </w:r>
    </w:p>
    <w:p>
      <w:r>
        <w:br w:type="page"/>
      </w:r>
    </w:p>
    <w:p>
      <w:pPr>
        <w:pStyle w:val="Heading1"/>
        <w:pBdr>
          <w:bottom w:val="single" w:color="12A3B0" w:sz="6"/>
        </w:pBdr>
        <w:spacing w:after="160" w:before="320"/>
      </w:pPr>
      <w:r>
        <w:rPr>
          <w:rFonts w:ascii="微软雅黑" w:cs="微软雅黑" w:eastAsia="微软雅黑" w:hAnsi="微软雅黑"/>
          <w:b/>
          <w:bCs/>
          <w:color w:val="0D3D47"/>
          <w:sz w:val="30"/>
          <w:szCs w:val="30"/>
        </w:rPr>
        <w:t xml:space="preserve">本手册怎么看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这本手册是给企业负责人、财务负责人和参与选型的人看的。它不讲软件功能名词，而是按「你厂里怎么干活」的顺序讲清楚：报废车从进厂到拆解产物卖出去，系统在哪一步替你记账、在哪一步替你拦住错、在哪一步替你留下证据。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1"/>
          <w:szCs w:val="21"/>
        </w:rPr>
        <w:t xml:space="preserve">第一章　行业与客户　</w:t>
      </w:r>
      <w:r>
        <w:rPr>
          <w:rFonts w:ascii="微软雅黑" w:cs="微软雅黑" w:eastAsia="微软雅黑" w:hAnsi="微软雅黑"/>
          <w:color w:val="6F8791"/>
          <w:sz w:val="20"/>
          <w:szCs w:val="20"/>
        </w:rPr>
        <w:t xml:space="preserve">报废车拆解企业现在怎么记账，为什么容易出错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1"/>
          <w:szCs w:val="21"/>
        </w:rPr>
        <w:t xml:space="preserve">第二章　产品定位与适用对象　</w:t>
      </w:r>
      <w:r>
        <w:rPr>
          <w:rFonts w:ascii="微软雅黑" w:cs="微软雅黑" w:eastAsia="微软雅黑" w:hAnsi="微软雅黑"/>
          <w:color w:val="6F8791"/>
          <w:sz w:val="20"/>
          <w:szCs w:val="20"/>
        </w:rPr>
        <w:t xml:space="preserve">这套系统替企业管什么，谁在用、用哪几屏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1"/>
          <w:szCs w:val="21"/>
        </w:rPr>
        <w:t xml:space="preserve">第三章　业务场景　</w:t>
      </w:r>
      <w:r>
        <w:rPr>
          <w:rFonts w:ascii="微软雅黑" w:cs="微软雅黑" w:eastAsia="微软雅黑" w:hAnsi="微软雅黑"/>
          <w:color w:val="6F8791"/>
          <w:sz w:val="20"/>
          <w:szCs w:val="20"/>
        </w:rPr>
        <w:t xml:space="preserve">六个真实作业环节，每个环节系统做了什么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1"/>
          <w:szCs w:val="21"/>
        </w:rPr>
        <w:t xml:space="preserve">第四章　能力总览　</w:t>
      </w:r>
      <w:r>
        <w:rPr>
          <w:rFonts w:ascii="微软雅黑" w:cs="微软雅黑" w:eastAsia="微软雅黑" w:hAnsi="微软雅黑"/>
          <w:color w:val="6F8791"/>
          <w:sz w:val="20"/>
          <w:szCs w:val="20"/>
        </w:rPr>
        <w:t xml:space="preserve">13 个模块、91 个功能点逐条说明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1"/>
          <w:szCs w:val="21"/>
        </w:rPr>
        <w:t xml:space="preserve">第五章　合伙人与垫付分账　</w:t>
      </w:r>
      <w:r>
        <w:rPr>
          <w:rFonts w:ascii="微软雅黑" w:cs="微软雅黑" w:eastAsia="微软雅黑" w:hAnsi="微软雅黑"/>
          <w:color w:val="6F8791"/>
          <w:sz w:val="20"/>
          <w:szCs w:val="20"/>
        </w:rPr>
        <w:t xml:space="preserve">九步分账口径与标准算例，可以逐行对账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1"/>
          <w:szCs w:val="21"/>
        </w:rPr>
        <w:t xml:space="preserve">第六章　实施与交付　</w:t>
      </w:r>
      <w:r>
        <w:rPr>
          <w:rFonts w:ascii="微软雅黑" w:cs="微软雅黑" w:eastAsia="微软雅黑" w:hAnsi="微软雅黑"/>
          <w:color w:val="6F8791"/>
          <w:sz w:val="20"/>
          <w:szCs w:val="20"/>
        </w:rPr>
        <w:t xml:space="preserve">上线四步、数据安全与使用边界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1"/>
          <w:szCs w:val="21"/>
        </w:rPr>
        <w:t xml:space="preserve">第七章　常见问答　</w:t>
      </w:r>
      <w:r>
        <w:rPr>
          <w:rFonts w:ascii="微软雅黑" w:cs="微软雅黑" w:eastAsia="微软雅黑" w:hAnsi="微软雅黑"/>
          <w:color w:val="6F8791"/>
          <w:sz w:val="20"/>
          <w:szCs w:val="20"/>
        </w:rPr>
        <w:t xml:space="preserve">12 个客户最常问的问题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1"/>
          <w:szCs w:val="21"/>
        </w:rPr>
        <w:t xml:space="preserve">第八章　商务联系与资料索取　</w:t>
      </w:r>
      <w:r>
        <w:rPr>
          <w:rFonts w:ascii="微软雅黑" w:cs="微软雅黑" w:eastAsia="微软雅黑" w:hAnsi="微软雅黑"/>
          <w:color w:val="6F8791"/>
          <w:sz w:val="20"/>
          <w:szCs w:val="20"/>
        </w:rPr>
        <w:t xml:space="preserve">报价方式、演示安排与资料清单</w:t>
      </w:r>
    </w:p>
    <w:p>
      <w:pPr>
        <w:pStyle w:val="Heading1"/>
        <w:pBdr>
          <w:bottom w:val="single" w:color="12A3B0" w:sz="6"/>
        </w:pBdr>
        <w:spacing w:after="160" w:before="320"/>
      </w:pPr>
      <w:r>
        <w:rPr>
          <w:rFonts w:ascii="微软雅黑" w:cs="微软雅黑" w:eastAsia="微软雅黑" w:hAnsi="微软雅黑"/>
          <w:b/>
          <w:bCs/>
          <w:color w:val="0D3D47"/>
          <w:sz w:val="30"/>
          <w:szCs w:val="30"/>
        </w:rPr>
        <w:t xml:space="preserve">第一章　行业与客户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报废机动车回收拆解这个行当，钱与货的形态特别杂：一台报废车进厂，出的是按吨卖的废钢铁、按件卖的五大总成与回用件、还有必须合规处置的危险废物。收款要等下游企业结账，付款要应付车主与承运车队，中间还可能掺着合伙人的垫付与分账。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多数企业的合伙方式是「一人一摊账」：过磅靠纸质磅单、拆解产出靠脑记或微信群报数、危废靠一沓纸质转移联单、合伙人的钱靠口头约定。单看每一笔都没错，但一到月底对账，问题就集中爆发：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净重对不上：毛重、皮重靠手抄，回头录 Excel 容易错行，磅差没人比对，月底才发现库存不对；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产出去向说不清：一台车拆完，废钢、废铜、废铝、塑料各出多少，缺「投入 = 产出 + 损耗」的口径；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危废最怕检查：废机油、废蓄电池、废冷媒去哪了、谁拉走的、有没有转移单，常常要翻箱倒柜找纸质记录；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合伙人的账算不清：谁垫付、垫多少、回款后怎么分，时间一长就扯皮，伤的是合作关系。</w:t>
      </w:r>
    </w:p>
    <w:p>
      <w:pPr>
        <w:pBdr>
          <w:left w:val="single" w:color="12A3B0" w:sz="18"/>
        </w:pBdr>
        <w:shd w:fill="F1F7F9" w:val="clear"/>
        <w:spacing w:after="160" w:before="120" w:line="320"/>
        <w:ind w:left="160" w:right="160"/>
      </w:pPr>
      <w:r>
        <w:rPr>
          <w:rFonts w:ascii="微软雅黑" w:cs="微软雅黑" w:eastAsia="微软雅黑" w:hAnsi="微软雅黑"/>
          <w:color w:val="2E4A52"/>
          <w:sz w:val="19"/>
          <w:szCs w:val="19"/>
        </w:rPr>
        <w:t xml:space="preserve">这套系统的出发点很朴素：把行业里本来就该有的规矩（守恒、留痕、双人核对、分类记账）直接写进系统，让「按规定做」比「随便做」更省事。</w:t>
      </w:r>
    </w:p>
    <w:p>
      <w:pPr>
        <w:spacing w:after="60" w:before="120"/>
        <w:jc w:val="center"/>
      </w:pPr>
      <w:r>
        <w:drawing>
          <wp:inline distT="0" distB="0" distL="0" distR="0">
            <wp:extent cx="5715000" cy="3219450"/>
            <wp:effectExtent t="0" r="0" b="0" l="0"/>
            <wp:docPr id="3" name="scene-weigh" descr="scene-weigh" title="scene-weig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color w:val="6F8791"/>
          <w:sz w:val="17"/>
          <w:szCs w:val="17"/>
        </w:rPr>
        <w:t xml:space="preserve">进场过磅：毛重减皮重自动算净重，磅单照片与车号、司机一起留档</w:t>
      </w:r>
    </w:p>
    <w:p>
      <w:pPr>
        <w:pStyle w:val="Heading1"/>
        <w:pBdr>
          <w:bottom w:val="single" w:color="12A3B0" w:sz="6"/>
        </w:pBdr>
        <w:spacing w:after="160" w:before="320"/>
      </w:pPr>
      <w:r>
        <w:rPr>
          <w:rFonts w:ascii="微软雅黑" w:cs="微软雅黑" w:eastAsia="微软雅黑" w:hAnsi="微软雅黑"/>
          <w:b/>
          <w:bCs/>
          <w:color w:val="0D3D47"/>
          <w:sz w:val="30"/>
          <w:szCs w:val="30"/>
        </w:rPr>
        <w:t xml:space="preserve">第二章　产品定位与适用对象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面向报废机动车回收拆解企业（只做企业客户 B2B）：收车登记与进场过磅、拆解工单与拆解产物、五大总成与回用件、危废台账、销售出库与回款、合伙人与垫付分账、招投标保证金，一套账管到底。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一句话定位</w:t>
      </w:r>
    </w:p>
    <w:p>
      <w:pPr>
        <w:pBdr>
          <w:left w:val="single" w:color="12A3B0" w:sz="18"/>
        </w:pBdr>
        <w:shd w:fill="F1F7F9" w:val="clear"/>
        <w:spacing w:after="160" w:before="120" w:line="320"/>
        <w:ind w:left="160" w:right="160"/>
      </w:pPr>
      <w:r>
        <w:rPr>
          <w:rFonts w:ascii="微软雅黑" w:cs="微软雅黑" w:eastAsia="微软雅黑" w:hAnsi="微软雅黑"/>
          <w:color w:val="2E4A52"/>
          <w:sz w:val="19"/>
          <w:szCs w:val="19"/>
        </w:rPr>
        <w:t xml:space="preserve">一车一档、一单到底：报废车从进厂过磅到拆解产物卖出，账实一致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适用对象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客户类型：报废机动车回收拆解企业、再生资源回收企业（企业客户为主，约 5–50 人使用）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主标签：一车一档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主标签：投入产出守恒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主标签：危废可追溯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主标签：合伙分账可查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主标签：只冲红不删除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主标签：角色+数据范围双控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业务范围口径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报废机动车回收、进场过磅、拆解加工、五大总成与回用件、危废管理、拆解产物销售（企业客户 B2B）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交付形态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浏览器打开即用，电脑端做账、管理端审批，手机端过磅、拍照、审批与收付款登记；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同一套账号、同一套数据，不装客户端、不需要专用服务器；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演示环境按角色给了现成账号，收车、过磅、拆解、出库、回款、分账都能当场点开看。</w:t>
      </w:r>
    </w:p>
    <w:p>
      <w:pPr>
        <w:pStyle w:val="Heading1"/>
        <w:pBdr>
          <w:bottom w:val="single" w:color="12A3B0" w:sz="6"/>
        </w:pBdr>
        <w:spacing w:after="160" w:before="320"/>
      </w:pPr>
      <w:r>
        <w:rPr>
          <w:rFonts w:ascii="微软雅黑" w:cs="微软雅黑" w:eastAsia="微软雅黑" w:hAnsi="微软雅黑"/>
          <w:b/>
          <w:bCs/>
          <w:color w:val="0D3D47"/>
          <w:sz w:val="30"/>
          <w:szCs w:val="30"/>
        </w:rPr>
        <w:t xml:space="preserve">第三章　业务场景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下面六个场景，是从进厂到卖出最花钱、最容易出错的六个环节。每一个场景都对应系统里的具体单据与字段。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3.1　报废车进场与厂区调度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车辆进厂先登记再上磅，厂区内按「待拆 / 拆解中 / 已拆解 / 待销售」分区，行车吊运与车辆堆放都有记录。</w:t>
      </w:r>
    </w:p>
    <w:p>
      <w:pPr>
        <w:pBdr>
          <w:left w:val="single" w:color="12A3B0" w:sz="18"/>
        </w:pBdr>
        <w:shd w:fill="F1F7F9" w:val="clear"/>
        <w:spacing w:after="160" w:before="120" w:line="320"/>
        <w:ind w:left="160" w:right="160"/>
      </w:pPr>
      <w:r>
        <w:rPr>
          <w:rFonts w:ascii="微软雅黑" w:cs="微软雅黑" w:eastAsia="微软雅黑" w:hAnsi="微软雅黑"/>
          <w:color w:val="2E4A52"/>
          <w:sz w:val="19"/>
          <w:szCs w:val="19"/>
        </w:rPr>
        <w:t xml:space="preserve">过磅入库：30 秒一车。仓库过磅用手机大按钮录入，车号、司机、毛重、皮重、磅单照片一次留全；入库即进库存与应付，明细重量与过磅净重的磅差系统自动比对。</w:t>
      </w:r>
    </w:p>
    <w:p>
      <w:pPr>
        <w:spacing w:after="60" w:before="120"/>
        <w:jc w:val="center"/>
      </w:pPr>
      <w:r>
        <w:drawing>
          <wp:inline distT="0" distB="0" distL="0" distR="0">
            <wp:extent cx="5334000" cy="3000375"/>
            <wp:effectExtent t="0" r="0" b="0" l="0"/>
            <wp:docPr id="4" name="scene-yard" descr="scene-yard" title="scene-y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color w:val="6F8791"/>
          <w:sz w:val="17"/>
          <w:szCs w:val="17"/>
        </w:rPr>
        <w:t xml:space="preserve">报废车进场与厂区调度（厂区）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3.2　地磅过磅与净重结算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毛重减皮重自动算净重，磅单照片与车号、司机一起留档；明细重量与过磅净重自动比对磅差。</w:t>
      </w:r>
    </w:p>
    <w:p>
      <w:pPr>
        <w:pBdr>
          <w:left w:val="single" w:color="12A3B0" w:sz="18"/>
        </w:pBdr>
        <w:shd w:fill="F1F7F9" w:val="clear"/>
        <w:spacing w:after="160" w:before="120" w:line="320"/>
        <w:ind w:left="160" w:right="160"/>
      </w:pPr>
      <w:r>
        <w:rPr>
          <w:rFonts w:ascii="微软雅黑" w:cs="微软雅黑" w:eastAsia="微软雅黑" w:hAnsi="微软雅黑"/>
          <w:color w:val="2E4A52"/>
          <w:sz w:val="19"/>
          <w:szCs w:val="19"/>
        </w:rPr>
        <w:t xml:space="preserve">拆解工单：投入 = 产出 + 损耗。拆解工单必须满足重量守恒，不平不允许提交；损耗率异常会自动生成问题账目，避免「悄悄少了一吨」。</w:t>
      </w:r>
    </w:p>
    <w:p>
      <w:pPr>
        <w:spacing w:after="60" w:before="120"/>
        <w:jc w:val="center"/>
      </w:pPr>
      <w:r>
        <w:drawing>
          <wp:inline distT="0" distB="0" distL="0" distR="0">
            <wp:extent cx="5334000" cy="3000375"/>
            <wp:effectExtent t="0" r="0" b="0" l="0"/>
            <wp:docPr id="5" name="scene-weigh" descr="scene-weigh" title="scene-weig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color w:val="6F8791"/>
          <w:sz w:val="17"/>
          <w:szCs w:val="17"/>
        </w:rPr>
        <w:t xml:space="preserve">地磅过磅与净重结算（过磅）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3.3　拆解工单与剪切加工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拆解工单按「投入 = 产出 + 损耗」校验重量守恒，不平不允许提交；拆解产物入库即进库存流水。</w:t>
      </w:r>
    </w:p>
    <w:p>
      <w:pPr>
        <w:pBdr>
          <w:left w:val="single" w:color="12A3B0" w:sz="18"/>
        </w:pBdr>
        <w:shd w:fill="F1F7F9" w:val="clear"/>
        <w:spacing w:after="160" w:before="120" w:line="320"/>
        <w:ind w:left="160" w:right="160"/>
      </w:pPr>
      <w:r>
        <w:rPr>
          <w:rFonts w:ascii="微软雅黑" w:cs="微软雅黑" w:eastAsia="微软雅黑" w:hAnsi="微软雅黑"/>
          <w:color w:val="2E4A52"/>
          <w:sz w:val="19"/>
          <w:szCs w:val="19"/>
        </w:rPr>
        <w:t xml:space="preserve">拆解产物分选计量。废钢铁、废铜、废铝、废塑料、废电缆等按品类分别称重入库，产出与损耗逐笔可重算，库存流水任何一笔都能追到来源车。</w:t>
      </w:r>
    </w:p>
    <w:p>
      <w:pPr>
        <w:spacing w:after="60" w:before="120"/>
        <w:jc w:val="center"/>
      </w:pPr>
      <w:r>
        <w:drawing>
          <wp:inline distT="0" distB="0" distL="0" distR="0">
            <wp:extent cx="5334000" cy="3000375"/>
            <wp:effectExtent t="0" r="0" b="0" l="0"/>
            <wp:docPr id="6" name="scene-shear" descr="scene-shear" title="scene-sh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color w:val="6F8791"/>
          <w:sz w:val="17"/>
          <w:szCs w:val="17"/>
        </w:rPr>
        <w:t xml:space="preserve">拆解工单与剪切加工（拆解）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3.4　拆解产物分选与计量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废钢铁、废铜、废铝、废塑料、废电缆等按品类分别称重入库，产出与损耗逐笔可重算。</w:t>
      </w:r>
    </w:p>
    <w:p>
      <w:pPr>
        <w:pBdr>
          <w:left w:val="single" w:color="12A3B0" w:sz="18"/>
        </w:pBdr>
        <w:shd w:fill="F1F7F9" w:val="clear"/>
        <w:spacing w:after="160" w:before="120" w:line="320"/>
        <w:ind w:left="160" w:right="160"/>
      </w:pPr>
      <w:r>
        <w:rPr>
          <w:rFonts w:ascii="微软雅黑" w:cs="微软雅黑" w:eastAsia="微软雅黑" w:hAnsi="微软雅黑"/>
          <w:color w:val="2E4A52"/>
          <w:sz w:val="19"/>
          <w:szCs w:val="19"/>
        </w:rPr>
        <w:t xml:space="preserve">五大总成与回用件。发动机、变速箱、车架、前后桥、方向机等按件建账，按件与成色计价，不混进吨位库存；可再制造、可单独销售，去向有记录。</w:t>
      </w:r>
    </w:p>
    <w:p>
      <w:pPr>
        <w:spacing w:after="60" w:before="120"/>
        <w:jc w:val="center"/>
      </w:pPr>
      <w:r>
        <w:drawing>
          <wp:inline distT="0" distB="0" distL="0" distR="0">
            <wp:extent cx="5334000" cy="3000375"/>
            <wp:effectExtent t="0" r="0" b="0" l="0"/>
            <wp:docPr id="7" name="scene-cable" descr="scene-cable" title="scene-c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color w:val="6F8791"/>
          <w:sz w:val="17"/>
          <w:szCs w:val="17"/>
        </w:rPr>
        <w:t xml:space="preserve">拆解产物分选与计量（产物）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3.5　五大总成与回用件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发动机、变速箱、车架、前后桥、方向机等按件登记台账，可再制造、可单独销售，按件计价不混进吨位。</w:t>
      </w:r>
    </w:p>
    <w:p>
      <w:pPr>
        <w:pBdr>
          <w:left w:val="single" w:color="12A3B0" w:sz="18"/>
        </w:pBdr>
        <w:shd w:fill="F1F7F9" w:val="clear"/>
        <w:spacing w:after="160" w:before="120" w:line="320"/>
        <w:ind w:left="160" w:right="160"/>
      </w:pPr>
      <w:r>
        <w:rPr>
          <w:rFonts w:ascii="微软雅黑" w:cs="微软雅黑" w:eastAsia="微软雅黑" w:hAnsi="微软雅黑"/>
          <w:color w:val="2E4A52"/>
          <w:sz w:val="19"/>
          <w:szCs w:val="19"/>
        </w:rPr>
        <w:t xml:space="preserve">危废分类暂存与转移。废机油、废蓄电池、废冷媒、废三元催化器等分区分类暂存；没有处置单位与转移单号系统会拦下不让闭环，环保检查直接调台账。</w:t>
      </w:r>
    </w:p>
    <w:p>
      <w:pPr>
        <w:spacing w:after="60" w:before="120"/>
        <w:jc w:val="center"/>
      </w:pPr>
      <w:r>
        <w:drawing>
          <wp:inline distT="0" distB="0" distL="0" distR="0">
            <wp:extent cx="5334000" cy="3000375"/>
            <wp:effectExtent t="0" r="0" b="0" l="0"/>
            <wp:docPr id="8" name="scene-sort" descr="scene-sort" title="scene-s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color w:val="6F8791"/>
          <w:sz w:val="17"/>
          <w:szCs w:val="17"/>
        </w:rPr>
        <w:t xml:space="preserve">五大总成与回用件（总成）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3.6　危废分类暂存与转移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废机油、废蓄电池、废冷媒、废三元催化器等分区暂存；转移必须填处置单位与转移单号，环保核查直接调台账。</w:t>
      </w:r>
    </w:p>
    <w:p>
      <w:pPr>
        <w:pBdr>
          <w:left w:val="single" w:color="12A3B0" w:sz="18"/>
        </w:pBdr>
        <w:shd w:fill="F1F7F9" w:val="clear"/>
        <w:spacing w:after="160" w:before="120" w:line="320"/>
        <w:ind w:left="160" w:right="160"/>
      </w:pPr>
      <w:r>
        <w:rPr>
          <w:rFonts w:ascii="微软雅黑" w:cs="微软雅黑" w:eastAsia="微软雅黑" w:hAnsi="微软雅黑"/>
          <w:color w:val="2E4A52"/>
          <w:sz w:val="19"/>
          <w:szCs w:val="19"/>
        </w:rPr>
        <w:t xml:space="preserve">销售出库与回款核销。销售单可追溯到来源收车单与拆解工单；出库过磅即扣库存，客户回款自动核销应收，账龄实时更新。</w:t>
      </w:r>
    </w:p>
    <w:p>
      <w:pPr>
        <w:spacing w:after="60" w:before="120"/>
        <w:jc w:val="center"/>
      </w:pPr>
      <w:r>
        <w:drawing>
          <wp:inline distT="0" distB="0" distL="0" distR="0">
            <wp:extent cx="5334000" cy="3000375"/>
            <wp:effectExtent t="0" r="0" b="0" l="0"/>
            <wp:docPr id="9" name="scene-hazard" descr="scene-hazard" title="scene-haz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color w:val="6F8791"/>
          <w:sz w:val="17"/>
          <w:szCs w:val="17"/>
        </w:rPr>
        <w:t xml:space="preserve">危废分类暂存与转移（合规）</w:t>
      </w:r>
    </w:p>
    <w:p>
      <w:pPr>
        <w:pStyle w:val="Heading1"/>
        <w:pBdr>
          <w:bottom w:val="single" w:color="12A3B0" w:sz="6"/>
        </w:pBdr>
        <w:spacing w:after="160" w:before="320"/>
      </w:pPr>
      <w:r>
        <w:rPr>
          <w:rFonts w:ascii="微软雅黑" w:cs="微软雅黑" w:eastAsia="微软雅黑" w:hAnsi="微软雅黑"/>
          <w:b/>
          <w:bCs/>
          <w:color w:val="0D3D47"/>
          <w:sz w:val="30"/>
          <w:szCs w:val="30"/>
        </w:rPr>
        <w:t xml:space="preserve">第四章　能力总览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下面是系统的全部 13 个模块、91 个功能点。这份清单与官网、系统菜单是同一套口径，可以直接当验收对照表使用；到功能点级别的 Excel 版可在下载中心取。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4.1　看板与待办（7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每天开工先看这里：钱在哪儿、单卡在哪儿、什么事要你处理；每个数字都能点进去看根数据。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经营看板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每天开工先看这里：钱在哪儿、单卡在哪儿、什么事要你处理。每张卡片都能点进去看根数据。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登录即可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经营大屏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把最要紧的数字摊在一屏上，适合办公室挂屏或投屏给老板看。所有数字都能点进去看根数据。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经营看板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待办与消息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每天开工先看这里：钱在哪儿、单卡在哪儿、什么事要你处理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经营看板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特别关注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每天开工先看这里：钱在哪儿、单卡在哪儿、什么事要你处理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经营看板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应收看板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每天开工先看这里：钱在哪儿、单卡在哪儿、什么事要你处理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经营看板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应付看板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每天开工先看这里：钱在哪儿、单卡在哪儿、什么事要你处理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经营看板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问题账目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每天开工先看这里：钱在哪儿、单卡在哪儿、什么事要你处理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经营看板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4.2　收车与过磅（6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报废车进场：登记收车单（车牌 / VIN / 车主 / 手续）→ 进场过磅 → 付款或垫付 → 扣杂退回。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收车登记单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报废车进场：登记收车单（车牌/VIN/发动机号/车主/证件）→ 进场过磅 → 付款/垫付 → 扣杂退回。收车单是这一台车的"主心骨"，之后所有过磅、付款、扣杂都挂在它下面，单号一定要留准确。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收车单查看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新建收车单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报废车进场：登记收车单（车牌/VIN/发动机号/车主/证件）→ 进场过磅 → 付款/垫付 → 扣杂退回。收车单是这一台车的"主心骨"，之后所有过磅、付款、扣杂都挂在它下面，单号一定要留准确。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收车单写入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车辆档案台账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一车一档：车牌、VIN（车架号）、发动机号、品牌车型、车主与证件、注销登记状态。与收车单 1:1，是出《报废机动车回收证明》与应对主管部门核查的依据。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车辆档案查看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进场过磅记录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报废车进场：登记收车单（车牌/VIN/车主/手续）→ 进场过磅 → 付款/垫付 → 扣杂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收车单查看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收车垫付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报废车进场：登记收车单（车牌/VIN/发动机号/车主/证件）→ 进场过磅 → 付款/垫付 → 扣杂退回。收车单是这一台车的"主心骨"，之后所有过磅、付款、扣杂都挂在它下面，单号一定要留准确。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扣杂与退回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报废车进场：登记收车单（车牌/VIN/车主/手续）→ 进场过磅 → 付款/垫付 → 扣杂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收车单查看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4.3　拆解与产物（9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车拆开以后分三路走：拆解产物按吨入库、五大总成与回用件按件记、危废单独在库等转移。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拆解工单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一台报废车的拆解过程：预处理（抽排废油液、拆蓄电池、回收冷媒、拆三元催化器）→ 拆解产物按吨入库 → 五大总成与回用件按件登记 → 危废单独在库。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五大总成与回用件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发动机、变速箱、车架、前桥、后桥、方向机（五大总成）与其他可回用件：按件记台账，可再制造、可单独卖给修理厂或再制造企业。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危废管理台账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拆解前预处理抽出的废机油、废矿物油、废蓄电池、废冷媒、废三元催化器等：在库 → 待转移 → 已转移 → 已处置，全程留痕。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危废台账查看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拆解料分拣单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车拆开以后分三路走：拆解产物按吨入库、五大总成与回用件按件记、危废单独在库等转移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库存台账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仓库里还剩多少、放在哪个库位、拆解损耗多少。拆解产物（废钢/废铜/废铝/废塑料）按吨入库，库存流水是所有出入库的原始记录，可逐笔追溯。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库存进出流水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仓库里还剩多少、放在哪个库位、拆解损耗多少。拆解产物（废钢/废铜/废铝/废塑料）按吨入库，库存流水是所有出入库的原始记录，可逐笔追溯。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库位分布图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仓库里还剩多少、放在哪个库位、拆解损耗多少。拆解产物（废钢/废铜/废铝/废塑料）按吨入库，库存流水是所有出入库的原始记录，可逐笔追溯。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库存盘点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仓库里还剩多少、放在哪个库位、拆解损耗多少。拆解产物（废钢/废铜/废铝/废塑料）按吨入库，库存流水是所有出入库的原始记录，可逐笔追溯。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库存调整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仓库里还剩多少、放在哪个库位、拆解损耗多少。拆解产物（废钢/废铜/废铝/废塑料）按吨入库，库存流水是所有出入库的原始记录，可逐笔追溯。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库存写入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4.4　销售与出库（5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卖给下家：开销售单 → 过磅出库 → 收款 → 对账与质量异议处理。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销售单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卖给下家的全过程：开销售单 → 过磅出库 → 收款 → 对账。销售单可以关联来源采购单，方便算毛利。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销售查看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新建销售单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卖给下家的全过程：开销售单 → 过磅出库 → 收款 → 对账。销售单可以关联来源采购单，方便算毛利。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销售写入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过磅出库记录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卖给下家：开销售单 → 过磅出库 → 收款 → 对账与异议处理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销售查看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客户对账单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卖给下家的全过程：开销售单 → 过磅出库 → 收款 → 对账。销售单可以关联来源采购单，方便算毛利。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销售查看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退回与质量异议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卖给下家：开销售单 → 过磅出库 → 收款 → 对账与异议处理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销售查看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4.5　资金与账龄（9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收了多少钱、付了多少钱、还欠多少、欠了多久；收付款与单据自动核销。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收款单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一笔钱进来就登记一笔。登记后会自动生成应收核销记录，客户欠款余额实时更新。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收付款查看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付款单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一笔钱出去就登记一笔。超过审批门槛（系统参数可设）的付款会进入老板待审批。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收付款查看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应收账款账龄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收了多少钱、付了多少钱、还欠多少、欠了多久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收付款查看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应付账款账龄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收了多少钱、付了多少钱、还欠多少、欠了多久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收付款查看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收付款核销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收了多少钱、付了多少钱、还欠多少、欠了多久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收付款查看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账户与资金流水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收了多少钱、付了多少钱、还欠多少、欠了多久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收付款查看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预收预付款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收了多少钱、付了多少钱、还欠多少、欠了多久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收付款查看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其他费用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收了多少钱、付了多少钱、还欠多少、欠了多久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收付款查看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坏账核销审批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收了多少钱、付了多少钱、还欠多少、欠了多久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收付款查看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4.6　运输与运费（4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谁拉的车、跑了多少趟、运费多少、和车队对得上账吗；月底按运输方一键拉账。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运单登记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谁拉的车、跑了多少趟、运费多少、由谁承担。月底按车队生成对账单，确认后付款。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运输查看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新建运单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谁拉的车、跑了多少趟、运费多少、由谁承担。月底按车队生成对账单，确认后付款。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运输写入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运输对账单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谁拉的车、跑了多少趟、运费多少、和车队对得上账吗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运输查看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应付车队运费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谁拉的车、跑了多少趟、运费多少、和车队对得上账吗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运输查看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4.7　合伙人分账（7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一单做完怎么分：垫付先还、成本扣除、利润按比例分到人，过程逐步可查。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分账结算单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一单业务做完后的分钱过程，按固定九步走：先还垫付、再扣成本、最后按比例分利润。每一步都有明细可查。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分账试算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一单业务做完后的分钱过程，按固定九步走：先还垫付、再扣成本、最后按比例分利润。每一步都有明细可查。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分账执行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分账过程明细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一单业务做完后的分钱过程，按固定九步走：先还垫付、再扣成本、最后按比例分利润。每一步都有明细可查。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分账红冲调整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一单业务做完后的分钱过程，按固定九步走：先还垫付、再扣成本、最后按比例分利润。每一步都有明细可查。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业务合伙关系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一单做完怎么分：垫付先还、成本扣除、利润按比例分到人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垫付台账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一单做完怎么分：垫付先还、成本扣除、利润按比例分到人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合伙人名册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一单做完怎么分：垫付先还、成本扣除、利润按比例分到人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分账查看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4.8　发票管理（5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开出去多少票、收进来多少票、和单据对得上吗；含票否回写到单据上。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销项发票台账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开给客户的发票登记。登记后可以和销售单对账，避免漏开、多开。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发票台账查看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进项发票台账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开出去多少票、收进来多少票、和单据对得上吗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发票台账查看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开票收票登记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开出去多少票、收进来多少票、和单据对得上吗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发票登记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发票与单据对账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开出去多少票、收进来多少票、和单据对得上吗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发票台账查看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税率设置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开出去多少票、收进来多少票、和单据对得上吗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发票台账查看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4.9　招投标与保证金（5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投了哪些标、交了多少钱、什么时候该退回来；退回必须人工验证到账才关闭。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投标项目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投了哪些标、交了多少保证金、什么时候该退回来。退回要有人"验证到账"才算闭环。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投标与押金查看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新建投标项目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投了哪些标、交了多少保证金、什么时候该退回来。退回要有人"验证到账"才算闭环。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投标与押金写入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保证金退回跟踪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投了哪些标、交了多少保证金、什么时候该退回来。退回要有人"验证到账"才算闭环。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投标与押金查看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招标平台与常驻押金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投了哪些标、交了多少保证金、什么时候该退回来。退回要有人"验证到账"才算闭环。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投标与押金查看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节点提醒看板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投了哪些标、交了多少保证金、什么时候该退回来。退回要有人"验证到账"才算闭环。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投标与押金查看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4.10　报表中心（8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按日 / 按月汇总，屏幕与导出口径一致，可直接导出或打印交财务。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日报与周报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按日、按月汇总的各类经营报表。所有报表都可以导出 CSV 或直接打印。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报表中心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采购销售与毛利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按日、按月汇总的各类经营报表。所有报表都可以导出 CSV 或直接打印。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报表中心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应收应付账龄表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按日、按月汇总的各类经营报表。所有报表都可以导出 CSV 或直接打印。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报表中心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合伙人分账汇总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按日、按月汇总的各类经营报表。所有报表都可以导出 CSV 或直接打印。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报表中心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保证金押金台账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按日、按月汇总的各类经营报表。所有报表都可以导出 CSV 或直接打印。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报表中心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库存与加工报表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按日、按月汇总的各类经营报表。所有报表都可以导出 CSV 或直接打印。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报表中心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价格行情与趋势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按日、按月汇总的各类经营报表。所有报表都可以导出 CSV 或直接打印。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报表中心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自定义报表与导出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按日、按月汇总的各类经营报表。所有报表都可以导出 CSV 或直接打印。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报表中心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4.11　基础资料（9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供应商、客户、车队、合伙人、品类、仓库这些档案；建单时的下拉选项都从这里来。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往来单位总档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供应商、客户、车队、品类、仓库这些"档案"，建单时下拉从这里来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主数据查看（供应商/客户/运输/合伙人/SKU/仓库）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供应商档案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供应商、客户、车队、品类、仓库这些"档案"，建单时下拉从这里来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主数据查看（供应商/客户/运输/合伙人/SKU/仓库）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客户档案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供应商、客户、车队、品类、仓库这些"档案"，建单时下拉从这里来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主数据查看（供应商/客户/运输/合伙人/SKU/仓库）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运输方档案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供应商、客户、车队、品类、仓库这些"档案"，建单时下拉从这里来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主数据查看（供应商/客户/运输/合伙人/SKU/仓库）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合伙人档案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供应商、客户、车队、品类、仓库这些"档案"，建单时下拉从这里来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主数据查看（供应商/客户/运输/合伙人/SKU/仓库）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品类与规格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供应商、客户、车队、品类、仓库这些"档案"，建单时下拉从这里来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主数据查看（供应商/客户/运输/合伙人/SKU/仓库）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仓库与库位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供应商、客户、车队、品类、仓库这些"档案"，建单时下拉从这里来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主数据查看（供应商/客户/运输/合伙人/SKU/仓库）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费用类型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供应商、客户、车队、品类、仓库这些"档案"，建单时下拉从这里来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主数据查看（供应商/客户/运输/合伙人/SKU/仓库）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价格行情录入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供应商、客户、车队、品类、仓库这些"档案"，建单时下拉从这里来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主数据查看（供应商/客户/运输/合伙人/SKU/仓库）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4.12　审计与留痕（4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谁在什么时候改了什么，改前改后都留着；金额改动单独成册。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操作日志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谁在什么时候改了什么，改前改后都留着。金额改动会被单独标出来。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审计与问题账目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金额改动记录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谁在什么时候改了什么，改前改后都留着。金额改动会被单独标出来。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审计与问题账目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作废与冲红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谁在什么时候改了什么，改前改后都留着。金额改动会被单独标出来。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审计与问题账目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登录与安全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谁在什么时候改了什么，改前改后都留着。金额改动会被单独标出来。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审计与问题账目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4.13　系统管理（13 项）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账号、角色权限、下拉选项（数据字典）、打印模板、外观布局与日志，都在这里维护。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1783"/>
        <w:gridCol w:w="5944"/>
        <w:gridCol w:w="2179"/>
      </w:tblGrid>
      <w:tr>
        <w:trPr>
          <w:tblHeader/>
        </w:trPr>
        <w:tc>
          <w:tcPr>
            <w:tcW w:type="pct" w:w="9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功能点</w:t>
            </w:r>
          </w:p>
        </w:tc>
        <w:tc>
          <w:tcPr>
            <w:tcW w:type="pct" w:w="30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这个功能点做什么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谁能用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账号管理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账号、权限、下拉选项、打印模板、外观、日志都在这里。改动全部留痕。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角色与权限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账号、权限、下拉选项、打印模板、外观、日志都在这里。改动全部留痕。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数据可见范围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账号、权限、下拉选项、打印模板、外观、日志都在这里。改动全部留痕。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数据字典（下拉选项）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系统里所有下拉框的内容都由这里控制。左侧选组、右侧维护选项，全站即时生效。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打印模板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单据打印的抬头、说明、落款与份数。列表页的"打印/批量打印"会按模块自动套用默认模板。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导出与导入中心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全站数据集的统一出口：想导出什么、想导入什么，都在这里找。导出带 UTF-8 BOM，Excel 直接打开不乱码。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登录即可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日志管理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全站操作留痕统一查询，可按时间、关键字、字段值筛，支持导出。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外观与布局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账号、权限、下拉选项、打印模板、外观、日志都在这里。改动全部留痕。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审批流配置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账号、权限、下拉选项、打印模板、外观、日志都在这里。改动全部留痕。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单据编号规则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账号、权限、下拉选项、打印模板、外观、日志都在这里。改动全部留痕。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提醒与消息模板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账号、权限、下拉选项、打印模板、外观、日志都在这里。改动全部留痕。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系统参数</w:t>
            </w:r>
          </w:p>
        </w:tc>
        <w:tc>
          <w:tcPr>
            <w:tcW w:type="pct" w:w="30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账号、权限、下拉选项、打印模板、外观、日志都在这里。改动全部留痕。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  <w:tr>
        <w:tc>
          <w:tcPr>
            <w:tcW w:type="pct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演示数据</w:t>
            </w:r>
          </w:p>
        </w:tc>
        <w:tc>
          <w:tcPr>
            <w:tcW w:type="pct" w:w="3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演示环境的库是按业务不变量算出来的，口径调整后在这里按最新口径重建一次，避免线上库停留在旧口径。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系统管理</w:t>
            </w:r>
          </w:p>
        </w:tc>
      </w:tr>
    </w:tbl>
    <w:p>
      <w:pPr>
        <w:pStyle w:val="Heading1"/>
        <w:pBdr>
          <w:bottom w:val="single" w:color="12A3B0" w:sz="6"/>
        </w:pBdr>
        <w:spacing w:after="160" w:before="320"/>
      </w:pPr>
      <w:r>
        <w:rPr>
          <w:rFonts w:ascii="微软雅黑" w:cs="微软雅黑" w:eastAsia="微软雅黑" w:hAnsi="微软雅黑"/>
          <w:b/>
          <w:bCs/>
          <w:color w:val="0D3D47"/>
          <w:sz w:val="30"/>
          <w:szCs w:val="30"/>
        </w:rPr>
        <w:t xml:space="preserve">第五章　合伙人与垫付分账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分账是最容易伤感情的地方，所以系统把它做成「九步固定口径 + 过程全留痕」：先把垫付本金还回去，再扣掉成本与费用，剩下的利润按约定占比分。每一步都能单独看、单独导出，合伙人之间可以坐下来一行一行对。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5.1　标准算例（可直接核对）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2972"/>
        <w:gridCol w:w="2179"/>
        <w:gridCol w:w="4755"/>
      </w:tblGrid>
      <w:tr>
        <w:trPr>
          <w:tblHeader/>
        </w:trPr>
        <w:tc>
          <w:tcPr>
            <w:tcW w:type="pct" w:w="15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项目</w:t>
            </w:r>
          </w:p>
        </w:tc>
        <w:tc>
          <w:tcPr>
            <w:tcW w:type="pct" w:w="11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金额（元）</w:t>
            </w:r>
          </w:p>
        </w:tc>
        <w:tc>
          <w:tcPr>
            <w:tcW w:type="pct" w:w="24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说明</w:t>
            </w:r>
          </w:p>
        </w:tc>
      </w:tr>
      <w:tr>
        <w:tc>
          <w:tcPr>
            <w:tcW w:type="pct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销售回款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120,000.00</w:t>
            </w:r>
          </w:p>
        </w:tc>
        <w:tc>
          <w:tcPr>
            <w:tcW w:type="pct" w:w="2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这一单卖给下游企业的销售收入</w:t>
            </w:r>
          </w:p>
        </w:tc>
      </w:tr>
      <w:tr>
        <w:tc>
          <w:tcPr>
            <w:tcW w:type="pct" w:w="15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采购成本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−100,000.00</w:t>
            </w:r>
          </w:p>
        </w:tc>
        <w:tc>
          <w:tcPr>
            <w:tcW w:type="pct" w:w="24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收车与拆解产物对应的成本</w:t>
            </w:r>
          </w:p>
        </w:tc>
      </w:tr>
      <w:tr>
        <w:tc>
          <w:tcPr>
            <w:tcW w:type="pct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运费与其他费用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−3,000.00</w:t>
            </w:r>
          </w:p>
        </w:tc>
        <w:tc>
          <w:tcPr>
            <w:tcW w:type="pct" w:w="2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这一单实际发生的运费与费用</w:t>
            </w:r>
          </w:p>
        </w:tc>
      </w:tr>
      <w:tr>
        <w:tc>
          <w:tcPr>
            <w:tcW w:type="pct" w:w="15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可分配净利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17,000.00</w:t>
            </w:r>
          </w:p>
        </w:tc>
        <w:tc>
          <w:tcPr>
            <w:tcW w:type="pct" w:w="24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回款 − 成本 − 费用</w:t>
            </w:r>
          </w:p>
        </w:tc>
      </w:tr>
      <w:tr>
        <w:tc>
          <w:tcPr>
            <w:tcW w:type="pct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垫付本金归还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100,000.00</w:t>
            </w:r>
          </w:p>
        </w:tc>
        <w:tc>
          <w:tcPr>
            <w:tcW w:type="pct" w:w="2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先还 X 先生垫付的采购款（Step 内自动扣回）</w:t>
            </w:r>
          </w:p>
        </w:tc>
      </w:tr>
      <w:tr>
        <w:tc>
          <w:tcPr>
            <w:tcW w:type="pct" w:w="15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公司净得（40%）</w:t>
            </w:r>
          </w:p>
        </w:tc>
        <w:tc>
          <w:tcPr>
            <w:tcW w:type="pct" w:w="11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6,800.00</w:t>
            </w:r>
          </w:p>
        </w:tc>
        <w:tc>
          <w:tcPr>
            <w:tcW w:type="pct" w:w="24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17,000 × 40%</w:t>
            </w:r>
          </w:p>
        </w:tc>
      </w:tr>
      <w:tr>
        <w:tc>
          <w:tcPr>
            <w:tcW w:type="pct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合伙人实付（60%）</w:t>
            </w:r>
          </w:p>
        </w:tc>
        <w:tc>
          <w:tcPr>
            <w:tcW w:type="pct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10,200.00</w:t>
            </w:r>
          </w:p>
        </w:tc>
        <w:tc>
          <w:tcPr>
            <w:tcW w:type="pct" w:w="2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10,000 垫付已还 + 17,000 × 60% = 10,200</w:t>
            </w:r>
          </w:p>
        </w:tc>
      </w:tr>
    </w:tbl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5.2　九步过程里能看到什么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Step1 单据与回款核对：确认这一单收回来的钱与单据一致；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Step2 成本归集：采购、运费与其他费用按实际发生归集；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Step3 垫付识别：列出这一单里所有垫付记录与垫付人；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Step4 可分配净利计算：回款减成本减费用；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Step5 垫付本金归还：先还本，本金不足时按规则分配；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Step6 分配比例套用：按业务合伙关系里约定的占比计算；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Step7 分配结果生成：公司净得与各合伙人实付金额；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Step8 应付与回款生成：确认后生成应付单与回款核销；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Step9 过程留痕与导出：全过程可导出、可红冲调整。</w:t>
      </w:r>
    </w:p>
    <w:p>
      <w:pPr>
        <w:pBdr>
          <w:left w:val="single" w:color="12A3B0" w:sz="18"/>
        </w:pBdr>
        <w:shd w:fill="F1F7F9" w:val="clear"/>
        <w:spacing w:after="160" w:before="120" w:line="320"/>
        <w:ind w:left="160" w:right="160"/>
      </w:pPr>
      <w:r>
        <w:rPr>
          <w:rFonts w:ascii="微软雅黑" w:cs="微软雅黑" w:eastAsia="微软雅黑" w:hAnsi="微软雅黑"/>
          <w:color w:val="2E4A52"/>
          <w:sz w:val="19"/>
          <w:szCs w:val="19"/>
        </w:rPr>
        <w:t xml:space="preserve">重要：分账必须先「试算」，试算不落账；确认无误再「执行」。执行后的分账要改，只能走红冲调整，不会出现「悄悄改个数字」的情况。</w:t>
      </w:r>
    </w:p>
    <w:p>
      <w:pPr>
        <w:spacing w:after="60" w:before="120"/>
        <w:jc w:val="center"/>
      </w:pPr>
      <w:r>
        <w:drawing>
          <wp:inline distT="0" distB="0" distL="0" distR="0">
            <wp:extent cx="5524500" cy="3105150"/>
            <wp:effectExtent t="0" r="0" b="0" l="0"/>
            <wp:docPr id="10" name="scene-settle" descr="scene-settle" title="scene-set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color w:val="6F8791"/>
          <w:sz w:val="17"/>
          <w:szCs w:val="17"/>
        </w:rPr>
        <w:t xml:space="preserve">分账结算单：先还垫付本金，再按占比分利润，九步明细可逐行核对</w:t>
      </w:r>
    </w:p>
    <w:p>
      <w:pPr>
        <w:pStyle w:val="Heading1"/>
        <w:pBdr>
          <w:bottom w:val="single" w:color="12A3B0" w:sz="6"/>
        </w:pBdr>
        <w:spacing w:after="160" w:before="320"/>
      </w:pPr>
      <w:r>
        <w:rPr>
          <w:rFonts w:ascii="微软雅黑" w:cs="微软雅黑" w:eastAsia="微软雅黑" w:hAnsi="微软雅黑"/>
          <w:b/>
          <w:bCs/>
          <w:color w:val="0D3D47"/>
          <w:sz w:val="30"/>
          <w:szCs w:val="30"/>
        </w:rPr>
        <w:t xml:space="preserve">第六章　实施与交付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6.1　上线四步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第 1 步 数据初始化：主数据、期初库存、期初应收应付、在拆车辆一次性导入，历史账不丢。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第 2 步 流程演练：拿你们真实单据走一遍全链路（收车 → 过磅 → 拆解 → 出库 → 回款 → 分账），发现问题当场改。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第 3 步 角色培训：老板、财务、业务、过磅员分角色培训，只讲各自日常要用的那几屏。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第 4 步 上线陪跑：头两周有人盯，问题当天闭环；过磅与拆解这两个高峰环节我们会重点盯。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6.2　数据安全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0"/>
          <w:szCs w:val="20"/>
        </w:rPr>
        <w:t xml:space="preserve">权限双控：</w:t>
      </w: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角色决定「能干什么」，数据可见范围决定「能看哪些单」；两者都不满足即看不到数据（fail-closed）。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0"/>
          <w:szCs w:val="20"/>
        </w:rPr>
        <w:t xml:space="preserve">字段级留痕：</w:t>
      </w: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谁、何时、原值 → 新值、IP 全记；金额改动超过阈值自动进专项日志与特别关注。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0"/>
          <w:szCs w:val="20"/>
        </w:rPr>
        <w:t xml:space="preserve">只冲红不删除：</w:t>
      </w: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单据作废与冲红都保留原始记录，系统内没有任何入口能物理删除业务数据。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0"/>
          <w:szCs w:val="20"/>
        </w:rPr>
        <w:t xml:space="preserve">日志不可改：</w:t>
      </w: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操作日志、登录日志只读，权限变更与密码重置进安全事件。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0"/>
          <w:szCs w:val="20"/>
        </w:rPr>
        <w:t xml:space="preserve">数据归客户：</w:t>
      </w: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数据存在自己的库里，随时可整体导出 CSV / Excel；导出带 UTF-8 BOM，Excel 直接打开不乱码。</w:t>
      </w:r>
    </w:p>
    <w:p>
      <w:pPr>
        <w:spacing w:after="90" w:line="320"/>
      </w:pPr>
      <w:r>
        <w:rPr>
          <w:rFonts w:ascii="微软雅黑" w:cs="微软雅黑" w:eastAsia="微软雅黑" w:hAnsi="微软雅黑"/>
          <w:b/>
          <w:bCs/>
          <w:color w:val="0D3D47"/>
          <w:sz w:val="20"/>
          <w:szCs w:val="20"/>
        </w:rPr>
        <w:t xml:space="preserve">演示有边界：</w:t>
      </w: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在线演示环境带水印且定期重置，只用于看功能，不作为生产数据存放处。</w:t>
      </w:r>
    </w:p>
    <w:p>
      <w:pPr>
        <w:pStyle w:val="Heading2"/>
        <w:spacing w:after="100" w:before="240"/>
      </w:pPr>
      <w:r>
        <w:rPr>
          <w:rFonts w:ascii="微软雅黑" w:cs="微软雅黑" w:eastAsia="微软雅黑" w:hAnsi="微软雅黑"/>
          <w:b/>
          <w:bCs/>
          <w:color w:val="0E7C86"/>
          <w:sz w:val="24"/>
          <w:szCs w:val="24"/>
        </w:rPr>
        <w:t xml:space="preserve">6.3　使用边界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不给一线工人做计件工时；不做打包压缩生产环节（本行业按剪切加工口径记账）；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不做复杂财务总账与税务申报（开票只做登记与台账，账务仍交给专业财务软件）；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一期不对接地磅硬件（预留接口，可后续接串口 / 网口地磅）；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一期按单一回收企业设计（预留多主体 / 多站点）。</w:t>
      </w:r>
    </w:p>
    <w:p>
      <w:pPr>
        <w:spacing w:after="60" w:before="120"/>
        <w:jc w:val="center"/>
      </w:pPr>
      <w:r>
        <w:drawing>
          <wp:inline distT="0" distB="0" distL="0" distR="0">
            <wp:extent cx="5524500" cy="3105150"/>
            <wp:effectExtent t="0" r="0" b="0" l="0"/>
            <wp:docPr id="11" name="scene-delivery" descr="scene-delivery" title="scene-deliv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cs="微软雅黑" w:eastAsia="微软雅黑" w:hAnsi="微软雅黑"/>
          <w:color w:val="6F8791"/>
          <w:sz w:val="17"/>
          <w:szCs w:val="17"/>
        </w:rPr>
        <w:t xml:space="preserve">交付四步：数据初始化、流程演练、角色培训、上线陪跑</w:t>
      </w:r>
    </w:p>
    <w:p>
      <w:pPr>
        <w:pStyle w:val="Heading1"/>
        <w:pBdr>
          <w:bottom w:val="single" w:color="12A3B0" w:sz="6"/>
        </w:pBdr>
        <w:spacing w:after="160" w:before="320"/>
      </w:pPr>
      <w:r>
        <w:rPr>
          <w:rFonts w:ascii="微软雅黑" w:cs="微软雅黑" w:eastAsia="微软雅黑" w:hAnsi="微软雅黑"/>
          <w:b/>
          <w:bCs/>
          <w:color w:val="0D3D47"/>
          <w:sz w:val="30"/>
          <w:szCs w:val="30"/>
        </w:rPr>
        <w:t xml:space="preserve">第七章　常见问答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Q1. 这套系统到底管什么？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管「一台报废车从进厂到拆解产物卖出去」的全过程：收车登记、进场过磅、拆解工单、拆解产物与五大总成入库、危废暂存与转移、销售出库与回款、合伙人与垫付分账、招投标保证金，最后所有动作都有留痕，报表能导出给财务和主管部门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Q2. 我们只有 5 个人，用得起来吗？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A：这套系统就是按 5–50 人的回收拆解企业设计的，不是大集团那套。仓库过磅用手机大按钮，老板在外用手机看板和审批，财务在电脑上登记收付款。演示账号按角色给，每个人只看自己要用的那几屏。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Q3. 拆解最怕「账实不符」，系统怎么保证？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A：三道校验：一是过磅净重与明细重量自动比磅差；二是拆解工单必须满足「投入 = 产出 + 损耗」，不平不能提交；三是库存流水逐笔可重算，盘点差异会写入流水并留痕，不能静默改账。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Q4. 危废会不会漏管？环保检查怎么办？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A：危废在系统里是独立台账，与吨位库存分开。入库、暂存、转移、处置四个状态全程留痕，没有处置单位和转移单号系统会拦下不让闭环。检查时直接按时间范围导出危废台账和转移记录即可。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Q5. 合伙人分账会不会算错？怎么核对？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A：分账是按固定九步走的，每一步都有过程明细（Step1–Step9）可以逐行对：销售额、扣除的成本与运费、垫付本金的归还、剩余利润的分配比例。而且分账必须先试算、再执行，试算不落账。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Q6. 要不要换地磅、换设备？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A：不需要。一期不接地磅硬件，过磅数据人工录入（手机或电脑），磅单拍照上传。系统预留了硬件对接接口，以后想接串口 / 网口地磅可以再说。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Q7. 数据安全吗？会不会被员工改掉？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A：所有字段级改动都留痕（谁、何时、原值 → 新值、IP），金额改动达到阈值会进专项日志并进入「特别关注」。单据只能作废或冲红，不能物理删除；权限是「角色 + 数据可见范围」双控，未授权看不到数据。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Q8. 多久能用起来？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A：标准实施路径是四步：数据初始化 → 真实单据流程演练 → 分角色培训 → 上线陪跑。多数客户在两周内把收车、过磅、拆解、销售、回款这条主线跑通，分账与保证金按你们的节奏再上。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Q9. 能不能先看演示？演示什么内容？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A：可以。演示环境按角色给了现成账号，推荐动线是：先看经营看板 → 走一遍收车过磅 → 看拆解工单的守恒校验 → 看销售出库与回款核销 → 最后看分账过程明细和留痕日志。演示环境带水印，只用于看功能。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Q10. 以后不租了，数据能拿走吗？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A：数据在客户自己的库里，随时可整体导出 CSV / Excel（带 UTF-8 BOM，Excel 直接打开不乱码）。我们不做数据绑架。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Q11. 报价怎么算？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A：按账号数阶梯订阅，也可以按企业打包报价；先把「谁要用、用哪几个模块」定下来再报价，避免买一堆用不上的功能。具体价格与试用安排请直接联系商务。</w:t>
      </w:r>
    </w:p>
    <w:p>
      <w:pPr>
        <w:spacing w:after="80" w:before="160" w:line="320"/>
      </w:pPr>
      <w:r>
        <w:rPr>
          <w:rFonts w:ascii="微软雅黑" w:cs="微软雅黑" w:eastAsia="微软雅黑" w:hAnsi="微软雅黑"/>
          <w:b/>
          <w:bCs/>
          <w:color w:val="0E7C86"/>
          <w:sz w:val="21"/>
          <w:szCs w:val="21"/>
        </w:rPr>
        <w:t xml:space="preserve">Q12. 系统不做哪些事？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A：不给一线工人做计件工时；不做打包压缩生产环节；不做复杂财务总账与税务申报（开票只做登记与台账）；一期不接地磅硬件；一期按单一回收企业设计。把边界讲清楚，避免上线后互相扯皮。</w:t>
      </w:r>
    </w:p>
    <w:p>
      <w:pPr>
        <w:pStyle w:val="Heading1"/>
        <w:pBdr>
          <w:bottom w:val="single" w:color="12A3B0" w:sz="6"/>
        </w:pBdr>
        <w:spacing w:after="160" w:before="320"/>
      </w:pPr>
      <w:r>
        <w:rPr>
          <w:rFonts w:ascii="微软雅黑" w:cs="微软雅黑" w:eastAsia="微软雅黑" w:hAnsi="微软雅黑"/>
          <w:b/>
          <w:bCs/>
          <w:color w:val="0D3D47"/>
          <w:sz w:val="30"/>
          <w:szCs w:val="30"/>
        </w:rPr>
        <w:t xml:space="preserve">第八章　商务联系与资料索取</w:t>
      </w:r>
    </w:p>
    <w:p>
      <w:pPr>
        <w:spacing w:after="140" w:line="340"/>
        <w:jc w:val="both"/>
      </w:pPr>
      <w:r>
        <w:rPr>
          <w:rFonts w:ascii="微软雅黑" w:cs="微软雅黑" w:eastAsia="微软雅黑" w:hAnsi="微软雅黑"/>
          <w:i w:val="false"/>
          <w:iCs w:val="false"/>
          <w:color w:val="2E4A52"/>
          <w:sz w:val="21"/>
          <w:szCs w:val="21"/>
        </w:rPr>
        <w:t xml:space="preserve">约演示、要资料、问报价，直接打电话或加企业微信即可。演示我们按你们的真实单据走一遍，不念 PPT；资料先发给你们内部传阅，觉得合适再谈下一步。</w:t>
      </w:r>
    </w:p>
    <w:tbl>
      <w:tblPr>
        <w:tblW w:type="pct" w:w="5000"/>
        <w:tblBorders>
          <w:top w:val="single" w:color="E0EAEE" w:sz="4"/>
          <w:left w:val="single" w:color="E0EAEE" w:sz="4"/>
          <w:bottom w:val="single" w:color="E0EAEE" w:sz="4"/>
          <w:right w:val="single" w:color="E0EAEE" w:sz="4"/>
          <w:insideH w:val="single" w:color="E0EAEE" w:sz="4"/>
          <w:insideV w:val="single" w:color="E0EAEE" w:sz="4"/>
        </w:tblBorders>
      </w:tblPr>
      <w:tblGrid>
        <w:gridCol w:w="2576"/>
        <w:gridCol w:w="7330"/>
      </w:tblGrid>
      <w:tr>
        <w:trPr>
          <w:tblHeader/>
        </w:trPr>
        <w:tc>
          <w:tcPr>
            <w:tcW w:type="pct" w:w="13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事项</w:t>
            </w:r>
          </w:p>
        </w:tc>
        <w:tc>
          <w:tcPr>
            <w:tcW w:type="pct" w:w="3700"/>
            <w:shd w:fill="0E7C8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/>
                <w:bCs/>
                <w:color w:val="FFFFFF"/>
                <w:sz w:val="19"/>
                <w:szCs w:val="19"/>
              </w:rPr>
              <w:t xml:space="preserve">方式</w:t>
            </w:r>
          </w:p>
        </w:tc>
      </w:tr>
      <w:tr>
        <w:tc>
          <w:tcPr>
            <w:tcW w:type="pct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电话 / 微信</w:t>
            </w:r>
          </w:p>
        </w:tc>
        <w:tc>
          <w:tcPr>
            <w:tcW w:type="pct" w:w="3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18016313342（微信同号）</w:t>
            </w:r>
          </w:p>
        </w:tc>
      </w:tr>
      <w:tr>
        <w:tc>
          <w:tcPr>
            <w:tcW w:type="pct" w:w="13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公司官网</w:t>
            </w:r>
          </w:p>
        </w:tc>
        <w:tc>
          <w:tcPr>
            <w:tcW w:type="pct" w:w="37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https://zerocod.cn/</w:t>
            </w:r>
          </w:p>
        </w:tc>
      </w:tr>
      <w:tr>
        <w:tc>
          <w:tcPr>
            <w:tcW w:type="pct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产品介绍页</w:t>
            </w:r>
          </w:p>
        </w:tc>
        <w:tc>
          <w:tcPr>
            <w:tcW w:type="pct" w:w="3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https://p.zerocod.cn/huishou-car/intro.html</w:t>
            </w:r>
          </w:p>
        </w:tc>
      </w:tr>
      <w:tr>
        <w:tc>
          <w:tcPr>
            <w:tcW w:type="pct" w:w="13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资料下载中心</w:t>
            </w:r>
          </w:p>
        </w:tc>
        <w:tc>
          <w:tcPr>
            <w:tcW w:type="pct" w:w="3700"/>
            <w:shd w:fill="F6FA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https://p.zerocod.cn/huishou-car/intro-downloads.html</w:t>
            </w:r>
          </w:p>
        </w:tc>
      </w:tr>
      <w:tr>
        <w:tc>
          <w:tcPr>
            <w:tcW w:type="pct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提供方</w:t>
            </w:r>
          </w:p>
        </w:tc>
        <w:tc>
          <w:tcPr>
            <w:tcW w:type="pct" w:w="3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line="300"/>
            </w:pPr>
            <w:r>
              <w:rPr>
                <w:rFonts w:ascii="微软雅黑" w:cs="微软雅黑" w:eastAsia="微软雅黑" w:hAnsi="微软雅黑"/>
                <w:b w:val="false"/>
                <w:bCs w:val="false"/>
                <w:color w:val="2E4A52"/>
                <w:sz w:val="18"/>
                <w:szCs w:val="18"/>
              </w:rPr>
              <w:t xml:space="preserve">上海思扬信息科技有限公司（算数科技）</w:t>
            </w:r>
          </w:p>
        </w:tc>
      </w:tr>
    </w:tbl>
    <w:p>
      <w:pPr>
        <w:spacing w:after="100" w:before="240"/>
      </w:pPr>
      <w:r>
        <w:rPr>
          <w:rFonts w:ascii="微软雅黑" w:cs="微软雅黑" w:eastAsia="微软雅黑" w:hAnsi="微软雅黑"/>
          <w:b/>
          <w:bCs/>
          <w:color w:val="0D3D47"/>
          <w:sz w:val="21"/>
          <w:szCs w:val="21"/>
        </w:rPr>
        <w:t xml:space="preserve">可索取资料：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功能清单（Excel，到功能点的完整对照表）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功能介绍（PPT，约 25 页，可投屏）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本宣传手册（Word，可打印装订）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演示账号与访问说明（TXT）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招投标技术方案与资质材料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按你们口径定制的功能对照表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分账算例说明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危废台账样例</w:t>
      </w:r>
    </w:p>
    <w:p>
      <w:pPr>
        <w:pStyle w:val="ListParagraph"/>
        <w:numPr>
          <w:ilvl w:val="0"/>
          <w:numId w:val="1"/>
        </w:numPr>
        <w:spacing w:after="70" w:line="320"/>
      </w:pPr>
      <w:r>
        <w:rPr>
          <w:rFonts w:ascii="微软雅黑" w:cs="微软雅黑" w:eastAsia="微软雅黑" w:hAnsi="微软雅黑"/>
          <w:color w:val="2E4A52"/>
          <w:sz w:val="20"/>
          <w:szCs w:val="20"/>
        </w:rPr>
        <w:t xml:space="preserve">数据迁移清单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微软雅黑" w:cs="微软雅黑" w:eastAsia="微软雅黑" w:hAnsi="微软雅黑"/>
        <w:color w:val="6F8791"/>
        <w:sz w:val="16"/>
        <w:szCs w:val="16"/>
      </w:rPr>
      <w:t xml:space="preserve">报废汽车回收拆解管理系统 · 宣传手册　|　算数科技　|　第 </w:t>
    </w:r>
    <w:r>
      <w:rPr>
        <w:rFonts w:ascii="微软雅黑" w:cs="微软雅黑" w:eastAsia="微软雅黑" w:hAnsi="微软雅黑"/>
        <w:color w:val="6F8791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微软雅黑" w:cs="微软雅黑" w:eastAsia="微软雅黑" w:hAnsi="微软雅黑"/>
        <w:color w:val="6F8791"/>
        <w:sz w:val="16"/>
        <w:szCs w:val="16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微软雅黑" w:cs="微软雅黑" w:eastAsia="微软雅黑" w:hAnsi="微软雅黑"/>
        <w:color w:val="2E4A52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33a09450e881d35a9177a38cbe16608f798bceed.png"/><Relationship Id="rId9" Type="http://schemas.openxmlformats.org/officeDocument/2006/relationships/image" Target="media/0c2f01e131a4cbc5acba58186732d0c96f958540.png"/><Relationship Id="rId10" Type="http://schemas.openxmlformats.org/officeDocument/2006/relationships/image" Target="media/f728f1ea881c0aa8b0d038b9906115a8eb474671.png"/><Relationship Id="rId11" Type="http://schemas.openxmlformats.org/officeDocument/2006/relationships/image" Target="media/772b294fe45779885113ee5710a9aea657440042.png"/><Relationship Id="rId12" Type="http://schemas.openxmlformats.org/officeDocument/2006/relationships/image" Target="media/7e0c2591abb261073a23b25b4e41c9b2e2a0ea0d.png"/><Relationship Id="rId13" Type="http://schemas.openxmlformats.org/officeDocument/2006/relationships/image" Target="media/74cccbd5e061f30e64a4a326912e7d590b6eec75.png"/><Relationship Id="rId14" Type="http://schemas.openxmlformats.org/officeDocument/2006/relationships/image" Target="media/075ca528529e14b6c090b2915a6804ee0abb24ea.png"/><Relationship Id="rId15" Type="http://schemas.openxmlformats.org/officeDocument/2006/relationships/image" Target="media/73d6919867a94b59bcf885fb69765832c3e6c3d4.png"/><Relationship Id="rId16" Type="http://schemas.openxmlformats.org/officeDocument/2006/relationships/image" Target="media/4d31f7f69bea7f2030b14bd1b604f97cc669bd4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报废汽车回收拆解管理系统 · 宣传手册</dc:title>
  <dc:creator>上海思扬信息科技有限公司</dc:creator>
  <dc:description>一车一档、一单到底：报废车从进厂过磅到拆解产物卖出，账实一致</dc:description>
  <cp:lastModifiedBy>Un-named</cp:lastModifiedBy>
  <cp:revision>1</cp:revision>
  <dcterms:created xsi:type="dcterms:W3CDTF">2026-10-09T13:26:45.774Z</dcterms:created>
  <dcterms:modified xsi:type="dcterms:W3CDTF">2026-10-09T13:26:45.774Z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