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shd w:val="clear" w:color="auto" w:fill="0F5A46"/>
            <w:tcMar>
              <w:top w:w="330" w:type="dxa"/>
              <w:bottom w:w="330" w:type="dxa"/>
              <w:start w:w="400" w:type="dxa"/>
              <w:end w:w="400" w:type="dxa"/>
            </w:tcMar>
          </w:tcPr>
          <w:p>
            <w:pPr>
              <w:spacing w:after="0"/>
            </w:pPr>
            <w:r/>
            <w:r>
              <w:rPr>
                <w:rFonts w:ascii="微软雅黑" w:hAnsi="微软雅黑" w:eastAsia="微软雅黑" w:cs="微软雅黑"/>
                <w:b/>
                <w:color w:val="C8963E"/>
                <w:sz w:val="19"/>
              </w:rPr>
              <w:t>产品宣传手册　|　v1.0</w:t>
            </w:r>
          </w:p>
          <w:p>
            <w:pPr>
              <w:spacing w:before="200" w:after="0"/>
            </w:pPr>
            <w:r>
              <w:rPr>
                <w:rFonts w:ascii="微软雅黑" w:hAnsi="微软雅黑" w:eastAsia="微软雅黑" w:cs="微软雅黑"/>
                <w:b/>
                <w:color w:val="FFFFFF"/>
                <w:sz w:val="68"/>
              </w:rPr>
              <w:t>沪回收</w:t>
            </w:r>
          </w:p>
          <w:p>
            <w:pPr>
              <w:spacing w:before="40" w:after="200"/>
            </w:pPr>
            <w:r>
              <w:rPr>
                <w:rFonts w:ascii="微软雅黑" w:hAnsi="微软雅黑" w:eastAsia="微软雅黑" w:cs="微软雅黑"/>
                <w:color w:val="D6E8E1"/>
                <w:sz w:val="30"/>
              </w:rPr>
              <w:t>废旧物资回收与分拣系统</w:t>
            </w:r>
          </w:p>
          <w:p>
            <w:pPr>
              <w:spacing w:after="60"/>
            </w:pPr>
            <w:r>
              <w:rPr>
                <w:rFonts w:ascii="微软雅黑" w:hAnsi="微软雅黑" w:eastAsia="微软雅黑" w:cs="微软雅黑"/>
                <w:b/>
                <w:color w:val="FFFFFF"/>
                <w:sz w:val="36"/>
              </w:rPr>
              <w:t>1600 个回收柜，柜柜算得清账</w:t>
            </w:r>
          </w:p>
          <w:p>
            <w:pPr>
              <w:spacing w:after="0"/>
            </w:pPr>
            <w:r>
              <w:rPr>
                <w:rFonts w:ascii="微软雅黑" w:hAnsi="微软雅黑" w:eastAsia="微软雅黑" w:cs="微软雅黑"/>
                <w:color w:val="B9D3CA"/>
                <w:sz w:val="21"/>
              </w:rPr>
              <w:t>废纺 · 旧书 · 编织袋 · 辅料</w:t>
            </w:r>
          </w:p>
        </w:tc>
      </w:tr>
    </w:tbl>
    <w:p>
      <w:pPr>
        <w:spacing w:before="0" w:after="240" w:line="396" w:lineRule="auto"/>
        <w:jc w:val="lef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E8F3EF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b/>
                <w:color w:val="0F5A46"/>
                <w:sz w:val="40"/>
              </w:rPr>
              <w:t>23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color w:val="1A2B26"/>
                <w:sz w:val="18"/>
              </w:rPr>
              <w:t>个业务模块</w:t>
            </w:r>
          </w:p>
        </w:tc>
        <w:tc>
          <w:tcPr>
            <w:tcW w:type="dxa" w:w="2353"/>
            <w:shd w:val="clear" w:color="auto" w:fill="E8F3EF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b/>
                <w:color w:val="0F5A46"/>
                <w:sz w:val="40"/>
              </w:rPr>
              <w:t>339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color w:val="1A2B26"/>
                <w:sz w:val="18"/>
              </w:rPr>
              <w:t>个功能点</w:t>
            </w:r>
          </w:p>
        </w:tc>
        <w:tc>
          <w:tcPr>
            <w:tcW w:type="dxa" w:w="2353"/>
            <w:shd w:val="clear" w:color="auto" w:fill="E8F3EF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b/>
                <w:color w:val="0F5A46"/>
                <w:sz w:val="40"/>
              </w:rPr>
              <w:t>97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color w:val="1A2B26"/>
                <w:sz w:val="18"/>
              </w:rPr>
              <w:t>张业务表</w:t>
            </w:r>
          </w:p>
        </w:tc>
        <w:tc>
          <w:tcPr>
            <w:tcW w:type="dxa" w:w="2353"/>
            <w:shd w:val="clear" w:color="auto" w:fill="E8F3EF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b/>
                <w:color w:val="0F5A46"/>
                <w:sz w:val="40"/>
              </w:rPr>
              <w:t>13</w:t>
            </w:r>
          </w:p>
          <w:p>
            <w:pPr>
              <w:spacing w:after="0"/>
              <w:jc w:val="center"/>
            </w:pPr>
            <w:r>
              <w:rPr>
                <w:rFonts w:ascii="微软雅黑" w:hAnsi="微软雅黑" w:eastAsia="微软雅黑" w:cs="微软雅黑"/>
                <w:color w:val="1A2B26"/>
                <w:sz w:val="18"/>
              </w:rPr>
              <w:t>类登录身份</w:t>
            </w:r>
          </w:p>
        </w:tc>
      </w:tr>
    </w:tbl>
    <w:p>
      <w:pPr>
        <w:spacing w:before="0" w:after="200" w:line="396" w:lineRule="auto"/>
        <w:jc w:val="left"/>
      </w:pP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9"/>
        </w:rPr>
        <w:t>给要上系统的老板看投入产出，给 IT 看模块边界，给站长和司机看现场怎么用。所有功能口径与《系统功能清单》一致，没有「手册有、系统没有」的条目。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CONTENTS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目录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01　</w:t>
      </w:r>
      <w:r>
        <w:rPr>
          <w:rFonts w:ascii="微软雅黑" w:hAnsi="微软雅黑" w:eastAsia="微软雅黑" w:cs="微软雅黑"/>
          <w:b/>
          <w:color w:val="1A2B26"/>
          <w:sz w:val="22"/>
        </w:rPr>
        <w:t>行业与产品定位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利润被什么吃掉，系统从哪里下手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02　</w:t>
      </w:r>
      <w:r>
        <w:rPr>
          <w:rFonts w:ascii="微软雅黑" w:hAnsi="微软雅黑" w:eastAsia="微软雅黑" w:cs="微软雅黑"/>
          <w:b/>
          <w:color w:val="1A2B26"/>
          <w:sz w:val="22"/>
        </w:rPr>
        <w:t>四个问题，一套系统回答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老板、站长、财务最关心的四件事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03　</w:t>
      </w:r>
      <w:r>
        <w:rPr>
          <w:rFonts w:ascii="微软雅黑" w:hAnsi="微软雅黑" w:eastAsia="微软雅黑" w:cs="微软雅黑"/>
          <w:b/>
          <w:color w:val="1A2B26"/>
          <w:sz w:val="22"/>
        </w:rPr>
        <w:t>全链路：从投柜到回款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八个环节与批次号贯穿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04　</w:t>
      </w:r>
      <w:r>
        <w:rPr>
          <w:rFonts w:ascii="微软雅黑" w:hAnsi="微软雅黑" w:eastAsia="微软雅黑" w:cs="微软雅黑"/>
          <w:b/>
          <w:color w:val="1A2B26"/>
          <w:sz w:val="22"/>
        </w:rPr>
        <w:t>四类物料，四种管法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纺织、旧书、编织袋、辅料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05　</w:t>
      </w:r>
      <w:r>
        <w:rPr>
          <w:rFonts w:ascii="微软雅黑" w:hAnsi="微软雅黑" w:eastAsia="微软雅黑" w:cs="微软雅黑"/>
          <w:b/>
          <w:color w:val="1A2B26"/>
          <w:sz w:val="22"/>
        </w:rPr>
        <w:t>功能模块明细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23 个模块与 339 条功能点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06　</w:t>
      </w:r>
      <w:r>
        <w:rPr>
          <w:rFonts w:ascii="微软雅黑" w:hAnsi="微软雅黑" w:eastAsia="微软雅黑" w:cs="微软雅黑"/>
          <w:b/>
          <w:color w:val="1A2B26"/>
          <w:sz w:val="22"/>
        </w:rPr>
        <w:t>移动端：不用装 App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司机、分拣员、站长、扫码追溯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07　</w:t>
      </w:r>
      <w:r>
        <w:rPr>
          <w:rFonts w:ascii="微软雅黑" w:hAnsi="微软雅黑" w:eastAsia="微软雅黑" w:cs="微软雅黑"/>
          <w:b/>
          <w:color w:val="1A2B26"/>
          <w:sz w:val="22"/>
        </w:rPr>
        <w:t>单柜经济模型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六项成本与撤柜决策口径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08　</w:t>
      </w:r>
      <w:r>
        <w:rPr>
          <w:rFonts w:ascii="微软雅黑" w:hAnsi="微软雅黑" w:eastAsia="微软雅黑" w:cs="微软雅黑"/>
          <w:b/>
          <w:color w:val="1A2B26"/>
          <w:sz w:val="22"/>
        </w:rPr>
        <w:t>报表与经营决策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10 张核心报表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09　</w:t>
      </w:r>
      <w:r>
        <w:rPr>
          <w:rFonts w:ascii="微软雅黑" w:hAnsi="微软雅黑" w:eastAsia="微软雅黑" w:cs="微软雅黑"/>
          <w:b/>
          <w:color w:val="1A2B26"/>
          <w:sz w:val="22"/>
        </w:rPr>
        <w:t>合规与红线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六项要求与八种系统拦截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10　</w:t>
      </w:r>
      <w:r>
        <w:rPr>
          <w:rFonts w:ascii="微软雅黑" w:hAnsi="微软雅黑" w:eastAsia="微软雅黑" w:cs="微软雅黑"/>
          <w:b/>
          <w:color w:val="1A2B26"/>
          <w:sz w:val="22"/>
        </w:rPr>
        <w:t>角色与权限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13 类登录身份（内部 11 + 门户 2）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11　</w:t>
      </w:r>
      <w:r>
        <w:rPr>
          <w:rFonts w:ascii="微软雅黑" w:hAnsi="微软雅黑" w:eastAsia="微软雅黑" w:cs="微软雅黑"/>
          <w:b/>
          <w:color w:val="1A2B26"/>
          <w:sz w:val="22"/>
        </w:rPr>
        <w:t>实施与交付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四周上线，首月陪跑</w:t>
      </w:r>
    </w:p>
    <w:p>
      <w:pPr>
        <w:spacing w:before="20" w:after="20" w:line="389" w:lineRule="auto"/>
      </w:pPr>
      <w:r>
        <w:rPr>
          <w:rFonts w:ascii="微软雅黑" w:hAnsi="微软雅黑" w:eastAsia="微软雅黑" w:cs="微软雅黑"/>
          <w:b/>
          <w:color w:val="C8963E"/>
          <w:sz w:val="20"/>
        </w:rPr>
        <w:t xml:space="preserve">12　</w:t>
      </w:r>
      <w:r>
        <w:rPr>
          <w:rFonts w:ascii="微软雅黑" w:hAnsi="微软雅黑" w:eastAsia="微软雅黑" w:cs="微软雅黑"/>
          <w:b/>
          <w:color w:val="1A2B26"/>
          <w:sz w:val="22"/>
        </w:rPr>
        <w:t>常见问题与联系</w:t>
      </w:r>
      <w:r>
        <w:rPr>
          <w:rFonts w:ascii="微软雅黑" w:hAnsi="微软雅黑" w:eastAsia="微软雅黑" w:cs="微软雅黑"/>
          <w:color w:val="5F6F69"/>
          <w:sz w:val="18"/>
        </w:rPr>
        <w:t xml:space="preserve">　　选型、部署、报价</w:t>
      </w:r>
    </w:p>
    <w:p>
      <w:pPr>
        <w:spacing w:before="0" w:after="80" w:line="396" w:lineRule="auto"/>
        <w:jc w:val="left"/>
      </w:pP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7484"/>
      </w:tblGrid>
      <w:tr>
        <w:trPr>
          <w:trHeight w:val="465"/>
          <w:tblHeader/>
        </w:trPr>
        <w:tc>
          <w:tcPr>
            <w:tcW w:type="dxa" w:w="1928"/>
            <w:shd w:val="clear" w:color="auto" w:fill="17896A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483"/>
            <w:shd w:val="clear" w:color="auto" w:fill="17896A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适用对象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废旧物资回收与分拣企业、再生资源站点、街道与社区合作运营方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覆盖物料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纺织类、纸质类（旧书）、周转材料（编织袋）、辅料耗材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部署方式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支持私有化部署，纯 PHP + SQLite，零外部依赖，数据可整库带走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更新日期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2026-10-24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联系方式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算数科技　电话 18016313342　演示环境 https://p.zerocod.cn/huishou-feijiuwuzi/</w:t>
            </w:r>
          </w:p>
        </w:tc>
      </w:tr>
    </w:tbl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01　POSITIONING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行业与产品定位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22"/>
        </w:rPr>
        <w:t>原料零成本，是因为居民免费投递。所以真正吃掉利润的从来不是货源，而是运输、人工、损耗和柜子本身。</w:t>
      </w:r>
    </w:p>
    <w:p>
      <w:pPr>
        <w:spacing w:before="0" w:after="1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原料零成本，因为居民免费投递。所以真正吃掉利润的从来不是货源，而是运输、人工、损耗和柜子本身。沪回收把「小区投柜 → 逐柜称重 → 过磅入库 → 分拣计件 → 质检定级 → 销售 / 捐赠」做成一条能追到柜的链，让每个柜子的毛利自己说话。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四个场景，四年没变过</w:t>
      </w:r>
    </w:p>
    <w:p>
      <w:pPr>
        <w:spacing w:after="100" w:line="372" w:lineRule="auto"/>
      </w:pPr>
      <w:r>
        <w:rPr>
          <w:rFonts w:ascii="微软雅黑" w:hAnsi="微软雅黑" w:eastAsia="微软雅黑" w:cs="微软雅黑"/>
          <w:b/>
          <w:color w:val="1A2B26"/>
          <w:sz w:val="21"/>
        </w:rPr>
        <w:t>01　司机手写单拍照发群</w:t>
      </w:r>
      <w:r>
        <w:rPr>
          <w:rFonts w:ascii="微软雅黑" w:hAnsi="微软雅黑" w:eastAsia="微软雅黑" w:cs="微软雅黑"/>
          <w:color w:val="5F6F69"/>
          <w:sz w:val="19"/>
        </w:rPr>
        <w:t xml:space="preserve">　统计员照照片一条条抄进 Excel，净重手算，按人按品类的工资也手算，每天干到晚上十一点。</w:t>
      </w:r>
    </w:p>
    <w:p>
      <w:pPr>
        <w:spacing w:after="140"/>
        <w:ind w:left="425"/>
      </w:pPr>
      <w:r>
        <w:rPr>
          <w:rFonts w:ascii="微软雅黑" w:hAnsi="微软雅黑" w:eastAsia="微软雅黑" w:cs="微软雅黑"/>
          <w:b/>
          <w:color w:val="0F5A46"/>
          <w:sz w:val="18"/>
        </w:rPr>
        <w:t>→ 同一批数据被好几个人反复手工处理，每一道都可能出错。</w:t>
      </w:r>
    </w:p>
    <w:p>
      <w:pPr>
        <w:spacing w:after="100" w:line="372" w:lineRule="auto"/>
      </w:pPr>
      <w:r>
        <w:rPr>
          <w:rFonts w:ascii="微软雅黑" w:hAnsi="微软雅黑" w:eastAsia="微软雅黑" w:cs="微软雅黑"/>
          <w:b/>
          <w:color w:val="1A2B26"/>
          <w:sz w:val="21"/>
        </w:rPr>
        <w:t>02　柜子该留该撤靠感觉</w:t>
      </w:r>
      <w:r>
        <w:rPr>
          <w:rFonts w:ascii="微软雅黑" w:hAnsi="微软雅黑" w:eastAsia="微软雅黑" w:cs="微软雅黑"/>
          <w:color w:val="5F6F69"/>
          <w:sz w:val="19"/>
        </w:rPr>
        <w:t xml:space="preserve">　1600 个柜子分布在数百个小区，哪个柜子月产出高、哪个连续空柜，没人能当场说清。</w:t>
      </w:r>
    </w:p>
    <w:p>
      <w:pPr>
        <w:spacing w:after="140"/>
        <w:ind w:left="425"/>
      </w:pPr>
      <w:r>
        <w:rPr>
          <w:rFonts w:ascii="微软雅黑" w:hAnsi="微软雅黑" w:eastAsia="微软雅黑" w:cs="微软雅黑"/>
          <w:b/>
          <w:color w:val="0F5A46"/>
          <w:sz w:val="18"/>
        </w:rPr>
        <w:t>→ 撤柜没有依据，好位置也可能被撤掉。</w:t>
      </w:r>
    </w:p>
    <w:p>
      <w:pPr>
        <w:spacing w:after="100" w:line="372" w:lineRule="auto"/>
      </w:pPr>
      <w:r>
        <w:rPr>
          <w:rFonts w:ascii="微软雅黑" w:hAnsi="微软雅黑" w:eastAsia="微软雅黑" w:cs="微软雅黑"/>
          <w:b/>
          <w:color w:val="1A2B26"/>
          <w:sz w:val="21"/>
        </w:rPr>
        <w:t>03　站与站之间的账对不上</w:t>
      </w:r>
      <w:r>
        <w:rPr>
          <w:rFonts w:ascii="微软雅黑" w:hAnsi="微软雅黑" w:eastAsia="微软雅黑" w:cs="微软雅黑"/>
          <w:color w:val="5F6F69"/>
          <w:sz w:val="19"/>
        </w:rPr>
        <w:t xml:space="preserve">　打包站收了多少、转给分拣站多少、损耗多少、该结多少钱，靠电话加纸质签字。</w:t>
      </w:r>
    </w:p>
    <w:p>
      <w:pPr>
        <w:spacing w:after="140"/>
        <w:ind w:left="425"/>
      </w:pPr>
      <w:r>
        <w:rPr>
          <w:rFonts w:ascii="微软雅黑" w:hAnsi="微软雅黑" w:eastAsia="微软雅黑" w:cs="微软雅黑"/>
          <w:b/>
          <w:color w:val="0F5A46"/>
          <w:sz w:val="18"/>
        </w:rPr>
        <w:t>→ 调拨损耗归属说不清，结算一拖再拖。</w:t>
      </w:r>
    </w:p>
    <w:p>
      <w:pPr>
        <w:spacing w:after="100" w:line="372" w:lineRule="auto"/>
      </w:pPr>
      <w:r>
        <w:rPr>
          <w:rFonts w:ascii="微软雅黑" w:hAnsi="微软雅黑" w:eastAsia="微软雅黑" w:cs="微软雅黑"/>
          <w:b/>
          <w:color w:val="1A2B26"/>
          <w:sz w:val="21"/>
        </w:rPr>
        <w:t>04　卖和捐混在一张表里</w:t>
      </w:r>
      <w:r>
        <w:rPr>
          <w:rFonts w:ascii="微软雅黑" w:hAnsi="微软雅黑" w:eastAsia="微软雅黑" w:cs="微软雅黑"/>
          <w:color w:val="5F6F69"/>
          <w:sz w:val="19"/>
        </w:rPr>
        <w:t xml:space="preserve">　捐赠的货没有收入但有成本，混进出库会让每张毛利表都失真。</w:t>
      </w:r>
    </w:p>
    <w:p>
      <w:pPr>
        <w:spacing w:after="140"/>
        <w:ind w:left="425"/>
      </w:pPr>
      <w:r>
        <w:rPr>
          <w:rFonts w:ascii="微软雅黑" w:hAnsi="微软雅黑" w:eastAsia="微软雅黑" w:cs="微软雅黑"/>
          <w:b/>
          <w:color w:val="0F5A46"/>
          <w:sz w:val="18"/>
        </w:rPr>
        <w:t>→ 公益做了不少，说不清花了多少。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系统边界：做什么，不做什么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7938"/>
      </w:tblGrid>
      <w:tr>
        <w:trPr>
          <w:trHeight w:val="465"/>
          <w:tblHeader/>
        </w:trPr>
        <w:tc>
          <w:tcPr>
            <w:tcW w:type="dxa" w:w="147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7937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做</w:t>
            </w:r>
          </w:p>
        </w:tc>
        <w:tc>
          <w:tcPr>
            <w:tcW w:type="dxa" w:w="793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把柜子当一级对象，逐柜称重、逐柜计件、逐柜算毛利；单据与批次可追；权限与合规校验写进流程。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不做</w:t>
            </w:r>
          </w:p>
        </w:tc>
        <w:tc>
          <w:tcPr>
            <w:tcW w:type="dxa" w:w="793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不做通用财务总账（可导出对接）、不做电商零售、不做物流干线调度、不承诺募捐资质。</w:t>
            </w:r>
          </w:p>
        </w:tc>
      </w:tr>
      <w:tr>
        <w:trPr>
          <w:cantSplit/>
        </w:trPr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可对接</w:t>
            </w:r>
          </w:p>
        </w:tc>
        <w:tc>
          <w:tcPr>
            <w:tcW w:type="dxa" w:w="793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地磅、电子秤、扫码枪、短信、微信服务号、企业微信、财务软件导出、对象存储备份。</w:t>
            </w:r>
          </w:p>
        </w:tc>
      </w:tr>
    </w:tbl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四流合一：为什么最终只有一本账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1247"/>
        <w:gridCol w:w="4536"/>
        <w:gridCol w:w="3628"/>
      </w:tblGrid>
      <w:tr>
        <w:trPr>
          <w:trHeight w:val="465"/>
          <w:tblHeader/>
        </w:trPr>
        <w:tc>
          <w:tcPr>
            <w:tcW w:type="dxa" w:w="1247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流</w:t>
            </w:r>
          </w:p>
        </w:tc>
        <w:tc>
          <w:tcPr>
            <w:tcW w:type="dxa" w:w="4535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从哪到哪</w:t>
            </w:r>
          </w:p>
        </w:tc>
        <w:tc>
          <w:tcPr>
            <w:tcW w:type="dxa" w:w="3628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系统怎么保证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货流</w:t>
            </w:r>
          </w:p>
        </w:tc>
        <w:tc>
          <w:tcPr>
            <w:tcW w:type="dxa" w:w="45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小区柜 → 清运车 → 打包站 → 分拣站 → 成品库 → 客户 / 受赠方</w:t>
            </w:r>
          </w:p>
        </w:tc>
        <w:tc>
          <w:tcPr>
            <w:tcW w:type="dxa" w:w="36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每个节点扫码交接，重量与批次一一对应</w:t>
            </w:r>
          </w:p>
        </w:tc>
      </w:tr>
      <w:tr>
        <w:trPr>
          <w:cantSplit/>
        </w:trPr>
        <w:tc>
          <w:tcPr>
            <w:tcW w:type="dxa" w:w="124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单据流</w:t>
            </w:r>
          </w:p>
        </w:tc>
        <w:tc>
          <w:tcPr>
            <w:tcW w:type="dxa" w:w="45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磅单 → 分拣单 → 成品入库单 → 出库单 → 结算单</w:t>
            </w:r>
          </w:p>
        </w:tc>
        <w:tc>
          <w:tcPr>
            <w:tcW w:type="dxa" w:w="36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一车一磅单、一次入库一个批次号，批次贯穿到底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资金流</w:t>
            </w:r>
          </w:p>
        </w:tc>
        <w:tc>
          <w:tcPr>
            <w:tcW w:type="dxa" w:w="45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应收 → 收款 → 核销 → 费用分摊 → 工资锁定</w:t>
            </w:r>
          </w:p>
        </w:tc>
        <w:tc>
          <w:tcPr>
            <w:tcW w:type="dxa" w:w="36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按订单核销，不走总额流水；费用按规则摊到柜</w:t>
            </w:r>
          </w:p>
        </w:tc>
      </w:tr>
      <w:tr>
        <w:trPr>
          <w:cantSplit/>
        </w:trPr>
        <w:tc>
          <w:tcPr>
            <w:tcW w:type="dxa" w:w="124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数据流</w:t>
            </w:r>
          </w:p>
        </w:tc>
        <w:tc>
          <w:tcPr>
            <w:tcW w:type="dxa" w:w="45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柜子 → 片区 → 站点 → 公司</w:t>
            </w:r>
          </w:p>
        </w:tc>
        <w:tc>
          <w:tcPr>
            <w:tcW w:type="dxa" w:w="36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同一份数据只录一次，报表层层汇总可下钻</w:t>
            </w:r>
          </w:p>
        </w:tc>
      </w:tr>
    </w:tbl>
    <w:p>
      <w:pPr>
        <w:spacing w:before="16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从几百个柜子的单站团队，到上千柜、多站点的网络都能用；柜数过万建议独立数据库部署并做读写分离。演示数据即西安口径的 1600 个柜子、24 个小区、2 万多条逐柜称重记录。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02　ANSWERS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四个问题，一套系统回答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决策层不需要看 21 个菜单，只需要这四个问题有答案，而且答案能点到单据。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1. 柜子到底赚不赚钱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1A2B26"/>
          <w:sz w:val="19"/>
        </w:rPr>
        <w:t>逐柜月产出、分拣后价值、六项成本、毛利与净利；连续 3 个月毛利为负或连续 3 次空柜自动进撤柜候选。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/>
          <w:color w:val="17896A"/>
          <w:sz w:val="18"/>
        </w:rPr>
        <w:t>投放不满 90 天标「观察期」，不给结论。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2. 司机和分拣员的工资算得清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1A2B26"/>
          <w:sz w:val="19"/>
        </w:rPr>
        <w:t>按柜、按品类、按工序计件；扫码即记，当天可见自己的产量与金额。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/>
          <w:color w:val="17896A"/>
          <w:sz w:val="18"/>
        </w:rPr>
        <w:t>月度试算 → 组长核对 → 财务确认后锁定，改动必须审批留痕。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3. 站与站之间的账能对上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1A2B26"/>
          <w:sz w:val="19"/>
        </w:rPr>
        <w:t>一次入库一个批次号，批次贯穿分拣、成品、销售与捐赠。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/>
          <w:color w:val="17896A"/>
          <w:sz w:val="18"/>
        </w:rPr>
        <w:t>打包站转分拣站按成本加成定价；途中损耗归发出方，卸后问题归接收方。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4. 老板每天看到实时的数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1A2B26"/>
          <w:sz w:val="19"/>
        </w:rPr>
        <w:t>今日收、分、销、存、款一屏；毛利率回答「这条货值不值得收」，净利率回答「这个柜子值不值得留」。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/>
          <w:color w:val="17896A"/>
          <w:sz w:val="18"/>
        </w:rPr>
        <w:t>数从现场扫码那一下就开始算，不等统计员抄完。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03　FULL CHAIN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全链路：从投柜到回款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批次号从入库那一刻生成，贯穿分拣、成品、销售与捐赠。任何一张报表都能回到那个柜子、那张磅单。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7371"/>
      </w:tblGrid>
      <w:tr>
        <w:trPr>
          <w:trHeight w:val="465"/>
          <w:tblHeader/>
        </w:trPr>
        <w:tc>
          <w:tcPr>
            <w:tcW w:type="dxa" w:w="2041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环节</w:t>
            </w:r>
          </w:p>
        </w:tc>
        <w:tc>
          <w:tcPr>
            <w:tcW w:type="dxa" w:w="7370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做什么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01　小区投柜</w:t>
            </w:r>
          </w:p>
        </w:tc>
        <w:tc>
          <w:tcPr>
            <w:tcW w:type="dxa" w:w="7370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居民自助投递，纺织与旧书可混装；柜体标识明示运营方与「资源回收、非慈善捐赠」。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02　清运称重</w:t>
            </w:r>
          </w:p>
        </w:tc>
        <w:tc>
          <w:tcPr>
            <w:tcW w:type="dxa" w:w="7370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司机扫码逐柜称重，记录满溢、空柜与异常；回站整车复核。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03　过磅入库</w:t>
            </w:r>
          </w:p>
        </w:tc>
        <w:tc>
          <w:tcPr>
            <w:tcW w:type="dxa" w:w="7370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净重 = 毛重 − 皮重 − 扣杂；一车一磅单、一次入库一个批次号。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04　分拣计件</w:t>
            </w:r>
          </w:p>
        </w:tc>
        <w:tc>
          <w:tcPr>
            <w:tcW w:type="dxa" w:w="7370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按品类分开，称重同时生成计件记录；投料 = 产出 + 损耗 + 尾料。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05　质检定级</w:t>
            </w:r>
          </w:p>
        </w:tc>
        <w:tc>
          <w:tcPr>
            <w:tcW w:type="dxa" w:w="7370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A/A+/B/C/尾料五档，定级同时定去向：可售 / 可捐 / 化浆 / 报废。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06　成品入库</w:t>
            </w:r>
          </w:p>
        </w:tc>
        <w:tc>
          <w:tcPr>
            <w:tcW w:type="dxa" w:w="7370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两本账：可售库存按库龄，待捐库存按状态，互不串货。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07　比价销售</w:t>
            </w:r>
          </w:p>
        </w:tc>
        <w:tc>
          <w:tcPr>
            <w:tcW w:type="dxa" w:w="7370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同批次多客户横向比价、底价审批、桶货直卖；出口单须有覆盖批次的证书。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08　公益捐赠</w:t>
            </w:r>
          </w:p>
        </w:tc>
        <w:tc>
          <w:tcPr>
            <w:tcW w:type="dxa" w:w="7370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受赠方资质 → 消毒 → 出库 → 签收 → 公益事业捐赠票据，成本单列。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09　回款与对账</w:t>
            </w:r>
          </w:p>
        </w:tc>
        <w:tc>
          <w:tcPr>
            <w:tcW w:type="dxa" w:w="7370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按订单核销，不走总额流水；账龄分段，逾期自动进催收清单。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10　分润与结算</w:t>
            </w:r>
          </w:p>
        </w:tc>
        <w:tc>
          <w:tcPr>
            <w:tcW w:type="dxa" w:w="7370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合伙人按柜或按站挂分润，月度结算，门户自助对账并在线确认。</w:t>
            </w:r>
          </w:p>
        </w:tc>
      </w:tr>
    </w:tbl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04　MATERIALS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四类物料，四种管法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别用一套逻辑管所有货：纺织按公斤分级，旧书公斤进、本出，编织袋是资产，辅料是费用。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644"/>
        <w:gridCol w:w="5499"/>
      </w:tblGrid>
      <w:tr>
        <w:trPr>
          <w:trHeight w:val="465"/>
          <w:tblHeader/>
        </w:trPr>
        <w:tc>
          <w:tcPr>
            <w:tcW w:type="dxa" w:w="2268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物料与范围</w:t>
            </w:r>
          </w:p>
        </w:tc>
        <w:tc>
          <w:tcPr>
            <w:tcW w:type="dxa" w:w="164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管法</w:t>
            </w:r>
          </w:p>
        </w:tc>
        <w:tc>
          <w:tcPr>
            <w:tcW w:type="dxa" w:w="5499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关键规则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纺织类　·　服装、鞋包、家纺</w:t>
            </w:r>
          </w:p>
        </w:tc>
        <w:tc>
          <w:tcPr>
            <w:tcW w:type="dxa" w:w="164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按公斤分级，可卖可捐</w:t>
            </w:r>
          </w:p>
        </w:tc>
        <w:tc>
          <w:tcPr>
            <w:tcW w:type="dxa" w:w="549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· A/A+/B/C/尾料五档定级；· 夏装冬装必须分开标；· 拆套、建发联按工序计件；· 可售与待捐两本库存分开算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纸质类（旧书）　·　旧书、纸品</w:t>
            </w:r>
          </w:p>
        </w:tc>
        <w:tc>
          <w:tcPr>
            <w:tcW w:type="dxa" w:w="164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进按公斤，出按本</w:t>
            </w:r>
          </w:p>
        </w:tc>
        <w:tc>
          <w:tcPr>
            <w:tcW w:type="dxa" w:w="549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· 公斤与本双轨计量；· 质检把公斤成本拆到本；· 盗版与非法出版物只能化浆；· 系统没有人工放行入口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周转材料　·　编织袋</w:t>
            </w:r>
          </w:p>
        </w:tc>
        <w:tc>
          <w:tcPr>
            <w:tcW w:type="dxa" w:w="164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是资产，不是商品</w:t>
            </w:r>
          </w:p>
        </w:tc>
        <w:tc>
          <w:tcPr>
            <w:tcW w:type="dxa" w:w="549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· 入册、领用、随车回收、翻新、报废；· 丢袋率超 10% 进异常清单；· 月度盘点差异必填原因；· 确认后写「盘差」流水</w:t>
            </w:r>
          </w:p>
        </w:tc>
      </w:tr>
      <w:tr>
        <w:trPr>
          <w:cantSplit/>
        </w:trPr>
        <w:tc>
          <w:tcPr>
            <w:tcW w:type="dxa" w:w="226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辅料耗材　·　消毒、打包、标签</w:t>
            </w:r>
          </w:p>
        </w:tc>
        <w:tc>
          <w:tcPr>
            <w:tcW w:type="dxa" w:w="164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是费用，不是库存商品</w:t>
            </w:r>
          </w:p>
        </w:tc>
        <w:tc>
          <w:tcPr>
            <w:tcW w:type="dxa" w:w="549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· 采购入库、领用、消耗；· 按分拣吨数摊进成本；· 单吨摊多少看得见；· 安全库存与月度盘点</w:t>
            </w:r>
          </w:p>
        </w:tc>
      </w:tr>
    </w:tbl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05　MODULES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功能模块明细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共 23 个业务模块、339 条功能点；括号内为功能点数，完整明细见《沪回收-系统功能清单》。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1474"/>
        <w:gridCol w:w="5726"/>
      </w:tblGrid>
      <w:tr>
        <w:trPr>
          <w:trHeight w:val="465"/>
          <w:tblHeader/>
        </w:trPr>
        <w:tc>
          <w:tcPr>
            <w:tcW w:type="dxa" w:w="2211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模块</w:t>
            </w:r>
          </w:p>
        </w:tc>
        <w:tc>
          <w:tcPr>
            <w:tcW w:type="dxa" w:w="147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规模</w:t>
            </w:r>
          </w:p>
        </w:tc>
        <w:tc>
          <w:tcPr>
            <w:tcW w:type="dxa" w:w="5726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定位与核心能力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M01　柜子与投放管理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24 条 · 一期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柜子从字段升成一级对象：一柜一档一码，场地协议、业主同意、箱体标识、场地费、巡检报修到撤柜决策。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M02　清运与巡收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16 条 · 一期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按柜子容量与历史投递量算满溢天数，自动排频次；同片区聚合路线，扫码逐柜称重。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M03　过磅与原料入库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17 条 · 一期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地磅与手工双通道；净重 = 毛重 − 皮重 − 扣杂；一车一磅单、一次入库一个批次号。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M04　外购货源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8 条 · 留口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外购与合作货源登记，成本入账口径预留，与自投柜货源分开统计。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M05　分拣作业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23 条 · 一期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派工、投料、扫码计件、拆套、建发联、损耗登记；投料 = 产出 + 损耗 + 尾料，差异 &gt; 2% 必须填原因。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M06　品类与工序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14 条 · 一期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三级品类树、四类物料、单位换算（1 包 = 50 条）、标准损耗率与流向白名单。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M07　计件工资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14 条 · 一期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按柜、按品类、按工序计件；试算 → 组长核对 → 财务锁定，锁定后改动必须审批留痕。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M08　成品库存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16 条 · 二期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三本账：商品库存按库龄、资产库存按状态、辅料按安全库存；盘点未确认不动库存。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M09　销售与比价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24 条 · 二期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同批次多客户报价横向比价、底价审批、桶货直卖、分拣与直卖测算；捐赠货禁售，出口证书挂批次。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M10　客户与合同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10 条 · 二期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客户分级、账期与价格协议，合同变更留痕。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M11　收款与应收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12 条 · 二期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账龄、收款登记、核销、客户对账（期初 + 销售 − 收款 = 期末）、逾期催收、开票与发票登记。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M12　站点管理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12 条 · 二期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打包站与分拣站档案、产能、人员与站点损益。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M13　站点调拨结算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14 条 · 二期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打包站转分拣站按成本加成定价；途中损耗归发出方、卸后问题归接收方；按期间对账确认。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M14　费用管理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14 条 · 二期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场地费按周期批量生成，运输、人工、耗材归集，并按规则分摊到柜。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M15　报表与单柜经济模型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23 条 · 二期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单柜损益、柜子排名、撤柜建议、品类毛利、吨成本、人效、周转、税负、季节、摊销；全部可下钻、可导出。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M16　系统与权限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12 条 · 一期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13 类登录身份（内部 11 类 + 外部门户 2 类）、能力点 × 数据范围双层校验、审批流与操作留痕。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M17　移动端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10 条 · 一期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司机离线清运填报、分拣扫码计件、站内审批与扫码追溯。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M18　合规与资质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12 条 · 一期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备案、消防与治安台账、培训记录、计量器具检定、危废禁收清单。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M19　物资与周转材料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12 条 · 一期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编织袋两本账（入册、领用、回收、翻新、报废），丢袋率与月度盘点；辅料安全库存与单耗。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M20　质检与分级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12 条 · 一期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五档分级（A/A+/B/C/尾料）、公斤与本双轨、盗版强制化浆、客诉反查。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M21　公益捐赠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16 条 · 一期 9 / 二期 7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受赠方资质 → 消毒 → 出库 → 签收 → 公益事业捐赠票据，五步链；成本单列，年度汇总与税前扣除备查。</w:t>
            </w:r>
          </w:p>
        </w:tc>
      </w:tr>
      <w:tr>
        <w:trPr>
          <w:cantSplit/>
        </w:trPr>
        <w:tc>
          <w:tcPr>
            <w:tcW w:type="dxa" w:w="221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M22　交期跟单</w:t>
            </w:r>
          </w:p>
        </w:tc>
        <w:tc>
          <w:tcPr>
            <w:tcW w:type="dxa" w:w="147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10 条 · 二期</w:t>
            </w:r>
          </w:p>
        </w:tc>
        <w:tc>
          <w:tcPr>
            <w:tcW w:type="dxa" w:w="572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承诺交期、计划发货、实际发货、在途、到达、签收六个节点串成时间轴；逾期天数自动算，今日应发与超期未签一屏可见。</w:t>
            </w:r>
          </w:p>
        </w:tc>
      </w:tr>
      <w:tr>
        <w:trPr>
          <w:cantSplit/>
        </w:trPr>
        <w:tc>
          <w:tcPr>
            <w:tcW w:type="dxa" w:w="221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M23　退货与逆向</w:t>
            </w:r>
          </w:p>
        </w:tc>
        <w:tc>
          <w:tcPr>
            <w:tcW w:type="dxa" w:w="147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14 条 · 二期</w:t>
            </w:r>
          </w:p>
        </w:tc>
        <w:tc>
          <w:tcPr>
            <w:tcW w:type="dxa" w:w="572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退货不是删单：申请 → 审批 → 收货过磅 → 质检定去向 → 库存回退 / 应收冲减 / 发票红冲，一单到底，全程留痕。</w:t>
            </w:r>
          </w:p>
        </w:tc>
      </w:tr>
    </w:tbl>
    <w:p>
      <w:pPr>
        <w:spacing w:before="16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另有两个外部门户：P01 合伙人分润（按柜/按站挂分润、月度结算、门户对账）与 P02 买方门户（挂牌、在线下单、提货码核销、订单跟踪）。门户只给外部角色看该看的那一页。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06　MOBILE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移动端：不用装 App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同一套账号，手机浏览器打开就能填报；司机与分拣员登录后默认进手机端。弱网先存本地，回到有网的地方自动补传。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3628"/>
        <w:gridCol w:w="3742"/>
      </w:tblGrid>
      <w:tr>
        <w:trPr>
          <w:trHeight w:val="465"/>
          <w:tblHeader/>
        </w:trPr>
        <w:tc>
          <w:tcPr>
            <w:tcW w:type="dxa" w:w="2041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场景</w:t>
            </w:r>
          </w:p>
        </w:tc>
        <w:tc>
          <w:tcPr>
            <w:tcW w:type="dxa" w:w="3628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怎么用</w:t>
            </w:r>
          </w:p>
        </w:tc>
        <w:tc>
          <w:tcPr>
            <w:tcW w:type="dxa" w:w="3742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关键点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司机 · 清运填报</w:t>
            </w:r>
          </w:p>
        </w:tc>
        <w:tc>
          <w:tcPr>
            <w:tcW w:type="dxa" w:w="36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扫码开柜、逐柜称重、满溢与空柜标记；弱网先存本地，回到有网的地方自动补传。</w:t>
            </w:r>
          </w:p>
        </w:tc>
        <w:tc>
          <w:tcPr>
            <w:tcW w:type="dxa" w:w="374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扫码即定位，防代打卡；整车复核差异直接提示；当天产量与计件金额自己可见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分拣员 · 扫码计件</w:t>
            </w:r>
          </w:p>
        </w:tc>
        <w:tc>
          <w:tcPr>
            <w:tcW w:type="dxa" w:w="36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扫品类码投料，称重即记件；投料与产出对不平，系统不放行下一步。</w:t>
            </w:r>
          </w:p>
        </w:tc>
        <w:tc>
          <w:tcPr>
            <w:tcW w:type="dxa" w:w="374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不做二次录入；拆套与发联单独记；损耗必须填原因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站长 · 移动审批</w:t>
            </w:r>
          </w:p>
        </w:tc>
        <w:tc>
          <w:tcPr>
            <w:tcW w:type="dxa" w:w="36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报损、调拨、工资确认、捐赠出库在手机上就能批，驳回必须写理由并留痕。</w:t>
            </w:r>
          </w:p>
        </w:tc>
        <w:tc>
          <w:tcPr>
            <w:tcW w:type="dxa" w:w="374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审批留痕可查；待办与预警直达；主管不看业务经理的业绩表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任何人 · 扫码追溯</w:t>
            </w:r>
          </w:p>
        </w:tc>
        <w:tc>
          <w:tcPr>
            <w:tcW w:type="dxa" w:w="36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扫成品包上的码，查到批次、来源柜、清运记录、质检员与定级。</w:t>
            </w:r>
          </w:p>
        </w:tc>
        <w:tc>
          <w:tcPr>
            <w:tcW w:type="dxa" w:w="374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客诉反查一条链；误判统计可复盘；批次贯穿销售与捐赠</w:t>
            </w:r>
          </w:p>
        </w:tc>
      </w:tr>
    </w:tbl>
    <w:p>
      <w:pPr>
        <w:spacing w:before="16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扫码追溯：任何人扫成品包上的码，都能看到批次、来源柜、分拣班次与质检员；客诉反查不用翻 Excel。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07　UNIT ECONOMICS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单柜经济模型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收入按实际销售均价折算；成本拆成六项，捐赠成本单独归集，不污染商业毛利。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494"/>
        <w:gridCol w:w="6917"/>
      </w:tblGrid>
      <w:tr>
        <w:trPr>
          <w:trHeight w:val="465"/>
          <w:tblHeader/>
        </w:trPr>
        <w:tc>
          <w:tcPr>
            <w:tcW w:type="dxa" w:w="249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成本项</w:t>
            </w:r>
          </w:p>
        </w:tc>
        <w:tc>
          <w:tcPr>
            <w:tcW w:type="dxa" w:w="6917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归集口径</w:t>
            </w:r>
          </w:p>
        </w:tc>
      </w:tr>
      <w:tr>
        <w:trPr>
          <w:cantSplit/>
        </w:trPr>
        <w:tc>
          <w:tcPr>
            <w:tcW w:type="dxa" w:w="249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01　运输</w:t>
            </w:r>
          </w:p>
        </w:tc>
        <w:tc>
          <w:tcPr>
            <w:tcW w:type="dxa" w:w="691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按柜分摊车辆与燃油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02　分拣人工</w:t>
            </w:r>
          </w:p>
        </w:tc>
        <w:tc>
          <w:tcPr>
            <w:tcW w:type="dxa" w:w="691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计件工资按柜归集</w:t>
            </w:r>
          </w:p>
        </w:tc>
      </w:tr>
      <w:tr>
        <w:trPr>
          <w:cantSplit/>
        </w:trPr>
        <w:tc>
          <w:tcPr>
            <w:tcW w:type="dxa" w:w="249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03　损耗</w:t>
            </w:r>
          </w:p>
        </w:tc>
        <w:tc>
          <w:tcPr>
            <w:tcW w:type="dxa" w:w="691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标准损耗率与实际差异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04　柜体摊销</w:t>
            </w:r>
          </w:p>
        </w:tc>
        <w:tc>
          <w:tcPr>
            <w:tcW w:type="dxa" w:w="691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采购价按投放月数摊</w:t>
            </w:r>
          </w:p>
        </w:tc>
      </w:tr>
      <w:tr>
        <w:trPr>
          <w:cantSplit/>
        </w:trPr>
        <w:tc>
          <w:tcPr>
            <w:tcW w:type="dxa" w:w="249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05　场地费</w:t>
            </w:r>
          </w:p>
        </w:tc>
        <w:tc>
          <w:tcPr>
            <w:tcW w:type="dxa" w:w="691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月/季/年付自动入账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06　包装辅料</w:t>
            </w:r>
          </w:p>
        </w:tc>
        <w:tc>
          <w:tcPr>
            <w:tcW w:type="dxa" w:w="691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编织袋与耗材单吨摊销</w:t>
            </w:r>
          </w:p>
        </w:tc>
      </w:tr>
    </w:tbl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撤柜与观察期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1A2B26"/>
          <w:sz w:val="19"/>
        </w:rPr>
        <w:t>连续 3 个月毛利为负，或连续 3 次空柜 → 进撤柜候选并附证据链；投放不满 90 天只标「观察期」，不给结论。柜子排名按毛利与净利两条线排，避免只看收入把好位置撤掉。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08　REPORTS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报表与经营决策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10 张核心报表，全部可下钻到单据，全部可导出 CSV（带 BOM，Excel 打开不乱码）。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577"/>
      </w:tblGrid>
      <w:tr>
        <w:trPr>
          <w:trHeight w:val="465"/>
          <w:tblHeader/>
        </w:trPr>
        <w:tc>
          <w:tcPr>
            <w:tcW w:type="dxa" w:w="2835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报表</w:t>
            </w:r>
          </w:p>
        </w:tc>
        <w:tc>
          <w:tcPr>
            <w:tcW w:type="dxa" w:w="6576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单柜损益与排名</w:t>
            </w:r>
          </w:p>
        </w:tc>
        <w:tc>
          <w:tcPr>
            <w:tcW w:type="dxa" w:w="657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逐柜毛利、净利、产出与成本构成，可下钻到清运记录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撤柜候选清单</w:t>
            </w:r>
          </w:p>
        </w:tc>
        <w:tc>
          <w:tcPr>
            <w:tcW w:type="dxa" w:w="657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连续负毛利或连续空柜自动生成，附证据链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品类毛利</w:t>
            </w:r>
          </w:p>
        </w:tc>
        <w:tc>
          <w:tcPr>
            <w:tcW w:type="dxa" w:w="657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按品类看收入、成本与毛利率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吨成本分析</w:t>
            </w:r>
          </w:p>
        </w:tc>
        <w:tc>
          <w:tcPr>
            <w:tcW w:type="dxa" w:w="657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每吨货的运输、人工、损耗、摊销拆解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包装物与辅料摊销</w:t>
            </w:r>
          </w:p>
        </w:tc>
        <w:tc>
          <w:tcPr>
            <w:tcW w:type="dxa" w:w="657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按月摊到吨，按站点归集，含丢袋率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人效报表</w:t>
            </w:r>
          </w:p>
        </w:tc>
        <w:tc>
          <w:tcPr>
            <w:tcW w:type="dxa" w:w="657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人均分拣吨数、计件金额、工时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库存周转</w:t>
            </w:r>
          </w:p>
        </w:tc>
        <w:tc>
          <w:tcPr>
            <w:tcW w:type="dxa" w:w="657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库龄结构与周转天数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增值税税负表</w:t>
            </w:r>
          </w:p>
        </w:tc>
        <w:tc>
          <w:tcPr>
            <w:tcW w:type="dxa" w:w="657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按税率与期间汇总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季节波动分析</w:t>
            </w:r>
          </w:p>
        </w:tc>
        <w:tc>
          <w:tcPr>
            <w:tcW w:type="dxa" w:w="657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收分销售按月的季节曲线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经营月报</w:t>
            </w:r>
          </w:p>
        </w:tc>
        <w:tc>
          <w:tcPr>
            <w:tcW w:type="dxa" w:w="6576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五项指标 + 环比 + 同比 + 近 6 个月趋势</w:t>
            </w:r>
          </w:p>
        </w:tc>
      </w:tr>
    </w:tbl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09　COMPLIANCE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合规与红线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这一节不是法务建议，是系统里真实存在的校验。合规做错了不是改代码，是要停业。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六项合规要求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494"/>
        <w:gridCol w:w="6917"/>
      </w:tblGrid>
      <w:tr>
        <w:trPr>
          <w:trHeight w:val="465"/>
          <w:tblHeader/>
        </w:trPr>
        <w:tc>
          <w:tcPr>
            <w:tcW w:type="dxa" w:w="249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要求</w:t>
            </w:r>
          </w:p>
        </w:tc>
        <w:tc>
          <w:tcPr>
            <w:tcW w:type="dxa" w:w="6917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49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资质与备案</w:t>
            </w:r>
          </w:p>
        </w:tc>
        <w:tc>
          <w:tcPr>
            <w:tcW w:type="dxa" w:w="691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再生资源回收经营者备案须与营业执照主体一致；到期提醒，过期经营要停。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业主同意（民法典 278 条）</w:t>
            </w:r>
          </w:p>
        </w:tc>
        <w:tc>
          <w:tcPr>
            <w:tcW w:type="dxa" w:w="691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占用业主共有部分须业主大会或业委会书面同意；没有同意件的柜子列表标红。</w:t>
            </w:r>
          </w:p>
        </w:tc>
      </w:tr>
      <w:tr>
        <w:trPr>
          <w:cantSplit/>
        </w:trPr>
        <w:tc>
          <w:tcPr>
            <w:tcW w:type="dxa" w:w="249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箱体标识</w:t>
            </w:r>
          </w:p>
        </w:tc>
        <w:tc>
          <w:tcPr>
            <w:tcW w:type="dxa" w:w="691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没有公开募捐资格不能写「公益 / 慈善 / 捐赠」；箱体须明示运营方、电话与「资源回收、非慈善捐赠」。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计量器具强制检定</w:t>
            </w:r>
          </w:p>
        </w:tc>
        <w:tc>
          <w:tcPr>
            <w:tcW w:type="dxa" w:w="691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检定过期的秤不许走正常过磅，只能出异常单并标记——这是计量纠纷唯一挡箭牌。</w:t>
            </w:r>
          </w:p>
        </w:tc>
      </w:tr>
      <w:tr>
        <w:trPr>
          <w:cantSplit/>
        </w:trPr>
        <w:tc>
          <w:tcPr>
            <w:tcW w:type="dxa" w:w="249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危废禁收</w:t>
            </w:r>
          </w:p>
        </w:tc>
        <w:tc>
          <w:tcPr>
            <w:tcW w:type="dxa" w:w="691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医疗废物、被化学品或油污浸透的织物、电子废弃物一律不碰；禁收清单公示到站点并做校验。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捐赠税前扣除</w:t>
            </w:r>
          </w:p>
        </w:tc>
        <w:tc>
          <w:tcPr>
            <w:tcW w:type="dxa" w:w="691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受赠方资质 + 消毒记录 + 捐赠出库单 + 签收 + 公益事业捐赠票据，五件齐全才算完成。</w:t>
            </w:r>
          </w:p>
        </w:tc>
      </w:tr>
    </w:tbl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八种情形，系统直接拦住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3742"/>
        <w:gridCol w:w="4762"/>
        <w:gridCol w:w="907"/>
      </w:tblGrid>
      <w:tr>
        <w:trPr>
          <w:trHeight w:val="465"/>
          <w:tblHeader/>
        </w:trPr>
        <w:tc>
          <w:tcPr>
            <w:tcW w:type="dxa" w:w="3742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情形</w:t>
            </w:r>
          </w:p>
        </w:tc>
        <w:tc>
          <w:tcPr>
            <w:tcW w:type="dxa" w:w="4762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系统怎么处理</w:t>
            </w:r>
          </w:p>
        </w:tc>
        <w:tc>
          <w:tcPr>
            <w:tcW w:type="dxa" w:w="907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位置</w:t>
            </w:r>
          </w:p>
        </w:tc>
      </w:tr>
      <w:tr>
        <w:trPr>
          <w:cantSplit/>
        </w:trPr>
        <w:tc>
          <w:tcPr>
            <w:tcW w:type="dxa" w:w="374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没有公开募捐资格</w:t>
            </w:r>
          </w:p>
        </w:tc>
        <w:tc>
          <w:tcPr>
            <w:tcW w:type="dxa" w:w="476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箱体、宣传物料、系统页面一律不得出现「公益 / 慈善 / 捐赠」暗示</w:t>
            </w:r>
          </w:p>
        </w:tc>
        <w:tc>
          <w:tcPr>
            <w:tcW w:type="dxa" w:w="90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M01 / M21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没有业主书面同意</w:t>
            </w:r>
          </w:p>
        </w:tc>
        <w:tc>
          <w:tcPr>
            <w:tcW w:type="dxa" w:w="476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不得占用小区共有部分投放柜子，系统标红并阻断投放审批</w:t>
            </w:r>
          </w:p>
        </w:tc>
        <w:tc>
          <w:tcPr>
            <w:tcW w:type="dxa" w:w="90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M01</w:t>
            </w:r>
          </w:p>
        </w:tc>
      </w:tr>
      <w:tr>
        <w:trPr>
          <w:cantSplit/>
        </w:trPr>
        <w:tc>
          <w:tcPr>
            <w:tcW w:type="dxa" w:w="374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计量器具检定过期</w:t>
            </w:r>
          </w:p>
        </w:tc>
        <w:tc>
          <w:tcPr>
            <w:tcW w:type="dxa" w:w="476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不得走正常过磅，只能出异常单并标记</w:t>
            </w:r>
          </w:p>
        </w:tc>
        <w:tc>
          <w:tcPr>
            <w:tcW w:type="dxa" w:w="90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M03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盗版与非法出版物</w:t>
            </w:r>
          </w:p>
        </w:tc>
        <w:tc>
          <w:tcPr>
            <w:tcW w:type="dxa" w:w="476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只能化浆，系统没有人工放行入口</w:t>
            </w:r>
          </w:p>
        </w:tc>
        <w:tc>
          <w:tcPr>
            <w:tcW w:type="dxa" w:w="90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M20</w:t>
            </w:r>
          </w:p>
        </w:tc>
      </w:tr>
      <w:tr>
        <w:trPr>
          <w:cantSplit/>
        </w:trPr>
        <w:tc>
          <w:tcPr>
            <w:tcW w:type="dxa" w:w="374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医疗废物、化学品浸透织物、电子废弃物</w:t>
            </w:r>
          </w:p>
        </w:tc>
        <w:tc>
          <w:tcPr>
            <w:tcW w:type="dxa" w:w="476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一律不碰，禁收清单公示到站点并做扫码校验</w:t>
            </w:r>
          </w:p>
        </w:tc>
        <w:tc>
          <w:tcPr>
            <w:tcW w:type="dxa" w:w="90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M20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出口订单缺有效证书</w:t>
            </w:r>
          </w:p>
        </w:tc>
        <w:tc>
          <w:tcPr>
            <w:tcW w:type="dxa" w:w="476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证书未覆盖批次直接拒绝出库</w:t>
            </w:r>
          </w:p>
        </w:tc>
        <w:tc>
          <w:tcPr>
            <w:tcW w:type="dxa" w:w="90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M09</w:t>
            </w:r>
          </w:p>
        </w:tc>
      </w:tr>
      <w:tr>
        <w:trPr>
          <w:cantSplit/>
        </w:trPr>
        <w:tc>
          <w:tcPr>
            <w:tcW w:type="dxa" w:w="374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捐赠缺任何一环</w:t>
            </w:r>
          </w:p>
        </w:tc>
        <w:tc>
          <w:tcPr>
            <w:tcW w:type="dxa" w:w="4762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五步链缺一步，捐赠出库建不出来</w:t>
            </w:r>
          </w:p>
        </w:tc>
        <w:tc>
          <w:tcPr>
            <w:tcW w:type="dxa" w:w="90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M21</w:t>
            </w:r>
          </w:p>
        </w:tc>
      </w:tr>
      <w:tr>
        <w:trPr>
          <w:cantSplit/>
        </w:trPr>
        <w:tc>
          <w:tcPr>
            <w:tcW w:type="dxa" w:w="374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开票超额度或重复票号</w:t>
            </w:r>
          </w:p>
        </w:tc>
        <w:tc>
          <w:tcPr>
            <w:tcW w:type="dxa" w:w="4762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系统拦截，不允许先开再补</w:t>
            </w:r>
          </w:p>
        </w:tc>
        <w:tc>
          <w:tcPr>
            <w:tcW w:type="dxa" w:w="907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M11</w:t>
            </w:r>
          </w:p>
        </w:tc>
      </w:tr>
    </w:tbl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10　ROLES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角色与权限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权限 = 能力点 × 数据范围，两层同时校验；敏感字段（场地费、成本价）可单独授权。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2835"/>
        <w:gridCol w:w="4649"/>
      </w:tblGrid>
      <w:tr>
        <w:trPr>
          <w:trHeight w:val="465"/>
          <w:tblHeader/>
        </w:trPr>
        <w:tc>
          <w:tcPr>
            <w:tcW w:type="dxa" w:w="1928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2835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数据范围</w:t>
            </w:r>
          </w:p>
        </w:tc>
        <w:tc>
          <w:tcPr>
            <w:tcW w:type="dxa" w:w="4649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典型职责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老板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全部数据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驾驶舱、单柜模型、资金与税负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运营总监</w:t>
            </w:r>
          </w:p>
        </w:tc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全部数据</w:t>
            </w:r>
          </w:p>
        </w:tc>
        <w:tc>
          <w:tcPr>
            <w:tcW w:type="dxa" w:w="464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单柜模型、清运频次、站点损益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片区经理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本片区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巡检、清运任务、柜子档案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司机</w:t>
            </w:r>
          </w:p>
        </w:tc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本片区 / 手机端</w:t>
            </w:r>
          </w:p>
        </w:tc>
        <w:tc>
          <w:tcPr>
            <w:tcW w:type="dxa" w:w="464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清运任务与逐柜称重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打包站站长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本站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过磅、库存、调拨、审批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分拣组长</w:t>
            </w:r>
          </w:p>
        </w:tc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本站</w:t>
            </w:r>
          </w:p>
        </w:tc>
        <w:tc>
          <w:tcPr>
            <w:tcW w:type="dxa" w:w="464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派工、计件核对、工资试算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分拣员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仅本人 / 手机端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扫码计件与个人产量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统计员</w:t>
            </w:r>
          </w:p>
        </w:tc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全部（只读为主）</w:t>
            </w:r>
          </w:p>
        </w:tc>
        <w:tc>
          <w:tcPr>
            <w:tcW w:type="dxa" w:w="464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报表、导出、核对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销售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全部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报价、订单、客户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财务</w:t>
            </w:r>
          </w:p>
        </w:tc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全部</w:t>
            </w:r>
          </w:p>
        </w:tc>
        <w:tc>
          <w:tcPr>
            <w:tcW w:type="dxa" w:w="464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应收、发票、费用、工资锁定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系统管理员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全部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账号、角色、参数、日志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合伙人（外部 P01）</w:t>
            </w:r>
          </w:p>
        </w:tc>
        <w:tc>
          <w:tcPr>
            <w:tcW w:type="dxa" w:w="2835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仅本人名下柜 / 站</w:t>
            </w:r>
          </w:p>
        </w:tc>
        <w:tc>
          <w:tcPr>
            <w:tcW w:type="dxa" w:w="4649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分润明细、自助对账、在线确认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买方客户（外部 P02）</w:t>
            </w:r>
          </w:p>
        </w:tc>
        <w:tc>
          <w:tcPr>
            <w:tcW w:type="dxa" w:w="2835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仅本企业挂牌货源</w:t>
            </w:r>
          </w:p>
        </w:tc>
        <w:tc>
          <w:tcPr>
            <w:tcW w:type="dxa" w:w="4649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看货、下单、提货码核销</w:t>
            </w:r>
          </w:p>
        </w:tc>
      </w:tr>
    </w:tbl>
    <w:p>
      <w:pPr>
        <w:spacing w:before="16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演示环境开放 13 个账号，同一密码 123456，登录页可直接点姓名一键切换身份。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11　DELIVERY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实施与交付</w:t>
      </w:r>
    </w:p>
    <w:p>
      <w:pPr>
        <w:spacing w:before="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20"/>
        </w:rPr>
        <w:t>不追求一次上全：先把清运、过磅、分拣、计件四件事跑通，再推销售与应收。每周对一次口径。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154"/>
        <w:gridCol w:w="1814"/>
        <w:gridCol w:w="5443"/>
      </w:tblGrid>
      <w:tr>
        <w:trPr>
          <w:trHeight w:val="465"/>
          <w:tblHeader/>
        </w:trPr>
        <w:tc>
          <w:tcPr>
            <w:tcW w:type="dxa" w:w="215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181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目标</w:t>
            </w:r>
          </w:p>
        </w:tc>
        <w:tc>
          <w:tcPr>
            <w:tcW w:type="dxa" w:w="5443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关键动作</w:t>
            </w:r>
          </w:p>
        </w:tc>
      </w:tr>
      <w:tr>
        <w:trPr>
          <w:cantSplit/>
        </w:trPr>
        <w:tc>
          <w:tcPr>
            <w:tcW w:type="dxa" w:w="215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第 1 周　口径对齐</w:t>
            </w:r>
          </w:p>
        </w:tc>
        <w:tc>
          <w:tcPr>
            <w:tcW w:type="dxa" w:w="181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['柜子与小区导入', '品类树与计件单价', '角色与数据范围']</w:t>
            </w:r>
          </w:p>
        </w:tc>
        <w:tc>
          <w:tcPr>
            <w:tcW w:type="dxa" w:w="544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拿你现有的 Excel 和单据，把柜子、品类、计件单价、场地费口径对一遍，输出配置清单。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第 2 周　试点上线</w:t>
            </w:r>
          </w:p>
        </w:tc>
        <w:tc>
          <w:tcPr>
            <w:tcW w:type="dxa" w:w="181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['司机与分拣员培训', '扫码与称重设备对接', '首月工资试算核对']</w:t>
            </w:r>
          </w:p>
        </w:tc>
        <w:tc>
          <w:tcPr>
            <w:tcW w:type="dxa" w:w="5443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选一个片区或一个站点真跑：清运、过磅、分拣、计件四件事先跑通。</w:t>
            </w:r>
          </w:p>
        </w:tc>
      </w:tr>
      <w:tr>
        <w:trPr>
          <w:cantSplit/>
        </w:trPr>
        <w:tc>
          <w:tcPr>
            <w:tcW w:type="dxa" w:w="215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第 3-4 周　全量推开</w:t>
            </w:r>
          </w:p>
        </w:tc>
        <w:tc>
          <w:tcPr>
            <w:tcW w:type="dxa" w:w="181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['多站点调拨结算', '单柜模型校准', '报表口径签字确认']</w:t>
            </w:r>
          </w:p>
        </w:tc>
        <w:tc>
          <w:tcPr>
            <w:tcW w:type="dxa" w:w="544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其余站点接入，销售、应收、费用、报表按周对账，差异当场改口径。</w:t>
            </w:r>
          </w:p>
        </w:tc>
      </w:tr>
    </w:tbl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交付物与承诺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配置清单、角色权限表、报表口径签字确认单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司机与分拣员培训（含扫码与称重设备对接）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首月陪跑：口径校准、工资试算核对、报表签字确认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数据可整库导出带走，不做数据绑架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12　FAQ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常见问题与资料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沪回收是什么？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沪回收是面向废旧物资回收与分拣企业的业务系统，覆盖「小区自助投递 → 逐柜清运称重 → 过磅入库 → 分拣扫码计件 → 质检定级 → 成品销售 / 公益捐赠」全链路，同时管纺织、旧书、编织袋与辅料四类物料。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适合多大规模的企业？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从几百个柜子的单站团队到上千柜、多站点网络都能用。演示数据是西安口径的 1600 个柜子、24 个小区、2 万多条逐柜称重记录。柜数过万时建议独立数据库部署并做读写分离。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和通用 ERP、进销存有什么不一样？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通用进销存没有「柜子」这个一级对象，算不出单柜毛利，也没有逐柜称重、分拣计件、编织袋丢袋率、捐赠五步凭证链这些行业约束。沪回收把这些口径写死在系统里，不是靠人自觉。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单柜经济模型怎么算？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收入按实际销售均价折算；成本拆成运输、分拣人工、损耗、柜体摊销、场地费、包装辅料六项，捐赠成本单独归集。连续 3 个月毛利为负或连续 3 次空柜进入撤柜候选，投放不满 90 天只标观察期。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卖和捐能同时管吗？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可以，而且是两条平级的出路。可售货走比价销售，可捐货走「受赠方资质 → 消毒 → 出库 → 签收 → 公益事业捐赠票据」五步链，成本单列，不污染商业毛利；捐赠货禁止走销售出库。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卖出去之后客户退货怎么办？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退货不是删单。系统走独立逆向链：申请 → 审批 → 收货过磅 → 质检定去向 → 库存回退 / 应收冲减 / 发票红冲。可售回原批次、降级回库降等、报废只记损耗；已收款的转「应退客户」，下次抵扣或原路退回。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交期怎么盯？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每张订单有承诺交期，发货、装车、在途、到达、签收各节点按实际时间登记，逾期天数和交期达成率自动算。今日应发、逾期未发、超期未签三张清单，销售和运营共用一套口径。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司机和分拣员需要装 App 吗？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不需要。同一套账号用手机浏览器打开即可，司机与分拣员登录后默认进手机端；弱网可先存本地再补传。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数据放在哪，能不能带走？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支持私有化部署，数据库可放在 Web 根目录之外；任意模块、任意报表都能导出 CSV（Excel 直接打开），资料三件套里也写清了表结构与口径，不做数据绑架。</w:t>
      </w:r>
    </w:p>
    <w:p>
      <w:pPr>
        <w:keepNext/>
        <w:spacing w:before="180" w:after="60" w:line="324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2"/>
        </w:rPr>
        <w:t>怎么试用、怎么报价？</w:t>
      </w:r>
    </w:p>
    <w:p>
      <w:pPr>
        <w:spacing w:before="0" w:after="6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演示环境开放 13 个账号一键切换，可直接用演示账号体验；报价按站点数与柜数分档，含部署、培训与首月陪跑，具体以商务沟通为准。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配套资料：三份材料，同一套口径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1134"/>
        <w:gridCol w:w="6463"/>
      </w:tblGrid>
      <w:tr>
        <w:trPr>
          <w:trHeight w:val="465"/>
          <w:tblHeader/>
        </w:trPr>
        <w:tc>
          <w:tcPr>
            <w:tcW w:type="dxa" w:w="181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资料</w:t>
            </w:r>
          </w:p>
        </w:tc>
        <w:tc>
          <w:tcPr>
            <w:tcW w:type="dxa" w:w="1134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格式</w:t>
            </w:r>
          </w:p>
        </w:tc>
        <w:tc>
          <w:tcPr>
            <w:tcW w:type="dxa" w:w="6463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8"/>
              </w:rPr>
              <w:t>用来做什么</w:t>
            </w:r>
          </w:p>
        </w:tc>
      </w:tr>
      <w:tr>
        <w:trPr>
          <w:cantSplit/>
        </w:trPr>
        <w:tc>
          <w:tcPr>
            <w:tcW w:type="dxa" w:w="181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系统功能清单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Excel</w:t>
            </w:r>
          </w:p>
        </w:tc>
        <w:tc>
          <w:tcPr>
            <w:tcW w:type="dxa" w:w="646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23 个模块、339 条功能点，含优先级、角色、规则、报表与实施清单；可作招标附件</w:t>
            </w:r>
          </w:p>
        </w:tc>
      </w:tr>
      <w:tr>
        <w:trPr>
          <w:cantSplit/>
        </w:trPr>
        <w:tc>
          <w:tcPr>
            <w:tcW w:type="dxa" w:w="181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产品功能介绍</w:t>
            </w:r>
          </w:p>
        </w:tc>
        <w:tc>
          <w:tcPr>
            <w:tcW w:type="dxa" w:w="1134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PPT</w:t>
            </w:r>
          </w:p>
        </w:tc>
        <w:tc>
          <w:tcPr>
            <w:tcW w:type="dxa" w:w="6463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12 页，给决策层讲行业现状、单柜模型、全链路与交付节奏</w:t>
            </w:r>
          </w:p>
        </w:tc>
      </w:tr>
      <w:tr>
        <w:trPr>
          <w:cantSplit/>
        </w:trPr>
        <w:tc>
          <w:tcPr>
            <w:tcW w:type="dxa" w:w="181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产品宣传手册</w:t>
            </w:r>
          </w:p>
        </w:tc>
        <w:tc>
          <w:tcPr>
            <w:tcW w:type="dxa" w:w="1134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Word</w:t>
            </w:r>
          </w:p>
        </w:tc>
        <w:tc>
          <w:tcPr>
            <w:tcW w:type="dxa" w:w="646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7"/>
              </w:rPr>
              <w:t>A4 版式，替换 logo 与联系方式即可作为自己的抬头发放</w:t>
            </w:r>
          </w:p>
        </w:tc>
      </w:tr>
    </w:tbl>
    <w:p>
      <w:pPr>
        <w:spacing w:before="12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8"/>
        </w:rPr>
        <w:t>三份资料都可在官网「资料下载」页直接下载，文件名已用中文，下载后直接改名套用即可。</w:t>
      </w: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服务承诺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私有化部署，数据库放在 Web 根目录之外；任意模块与报表可导出 CSV（Excel 直接打开）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上线含培训与首月陪跑：口径校准、工资试算核对、报表签字确认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版本更新不额外收费；功能清单随版本同步更新，不出现「手册有、系统没有」</w:t>
      </w:r>
    </w:p>
    <w:p>
      <w:pPr>
        <w:spacing w:before="0" w:after="40" w:line="372" w:lineRule="auto"/>
        <w:ind w:left="312" w:hanging="312"/>
      </w:pPr>
      <w:r>
        <w:rPr>
          <w:rFonts w:ascii="微软雅黑" w:hAnsi="微软雅黑" w:eastAsia="微软雅黑" w:cs="微软雅黑"/>
          <w:b/>
          <w:color w:val="0F5A46"/>
          <w:sz w:val="18"/>
        </w:rPr>
        <w:t xml:space="preserve">·  </w:t>
      </w:r>
      <w:r>
        <w:rPr>
          <w:rFonts w:ascii="微软雅黑" w:hAnsi="微软雅黑" w:eastAsia="微软雅黑" w:cs="微软雅黑"/>
          <w:color w:val="5F6F69"/>
          <w:sz w:val="18"/>
        </w:rPr>
        <w:t>数据可整库带走，不做数据绑架，也不绑定硬件与云厂商</w:t>
      </w:r>
    </w:p>
    <w:p>
      <w:pPr>
        <w:keepNext/>
        <w:pageBreakBefore/>
        <w:spacing w:before="0" w:after="40" w:line="288" w:lineRule="auto"/>
        <w:jc w:val="left"/>
      </w:pPr>
      <w:r>
        <w:rPr>
          <w:rFonts w:ascii="微软雅黑" w:hAnsi="微软雅黑" w:eastAsia="微软雅黑" w:cs="微软雅黑"/>
          <w:b/>
          <w:i w:val="0"/>
          <w:color w:val="17896A"/>
          <w:sz w:val="17"/>
        </w:rPr>
        <w:t>CONTACT</w:t>
      </w:r>
    </w:p>
    <w:p>
      <w:pPr>
        <w:keepNext/>
        <w:pBdr>
          <w:bottom w:val="single" w:sz="10" w:space="6" w:color="C8963E"/>
        </w:pBdr>
        <w:spacing w:before="40" w:after="80" w:line="312" w:lineRule="auto"/>
        <w:jc w:val="left"/>
      </w:pPr>
      <w:r>
        <w:rPr>
          <w:rFonts w:ascii="微软雅黑" w:hAnsi="微软雅黑" w:eastAsia="微软雅黑" w:cs="微软雅黑"/>
          <w:b/>
          <w:i w:val="0"/>
          <w:color w:val="0F5A46"/>
          <w:sz w:val="38"/>
        </w:rPr>
        <w:t>联系我们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7484"/>
      </w:tblGrid>
      <w:tr>
        <w:trPr>
          <w:trHeight w:val="465"/>
          <w:tblHeader/>
        </w:trPr>
        <w:tc>
          <w:tcPr>
            <w:tcW w:type="dxa" w:w="1928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483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公司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算数科技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产品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沪回收 · 废旧物资回收与分拣系统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电话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18016313342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演示环境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https://p.zerocod.cn/huishou-feijiuwuzi/</w:t>
            </w:r>
          </w:p>
        </w:tc>
      </w:tr>
      <w:tr>
        <w:trPr>
          <w:cantSplit/>
        </w:trPr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资料下载</w:t>
            </w:r>
          </w:p>
        </w:tc>
        <w:tc>
          <w:tcPr>
            <w:tcW w:type="dxa" w:w="7483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8"/>
              </w:rPr>
              <w:t>官网「资料下载」页可获取功能清单 Excel、介绍 PPT 与本手册 Word</w:t>
            </w:r>
          </w:p>
        </w:tc>
      </w:tr>
    </w:tbl>
    <w:p>
      <w:pPr>
        <w:spacing w:before="0" w:after="80" w:line="396" w:lineRule="auto"/>
        <w:jc w:val="left"/>
      </w:pPr>
    </w:p>
    <w:p>
      <w:pPr>
        <w:keepNext/>
        <w:spacing w:before="240" w:after="80" w:line="336" w:lineRule="auto"/>
        <w:jc w:val="left"/>
      </w:pPr>
      <w:r>
        <w:rPr>
          <w:rFonts w:ascii="微软雅黑" w:hAnsi="微软雅黑" w:eastAsia="微软雅黑" w:cs="微软雅黑"/>
          <w:b/>
          <w:i w:val="0"/>
          <w:color w:val="1A2B26"/>
          <w:sz w:val="25"/>
        </w:rPr>
        <w:t>在线演示账号（同一密码 123456）</w:t>
      </w:r>
    </w:p>
    <w:tbl>
      <w:tblPr>
        <w:tblW w:type="auto" w:w="0"/>
        <w:jc w:val="center"/>
        <w:tblBorders>
          <w:top w:val="single" w:sz="6" w:space="0" w:color="D8E2DD"/>
          <w:left w:val="single" w:sz="6" w:space="0" w:color="D8E2DD"/>
          <w:bottom w:val="single" w:sz="6" w:space="0" w:color="D8E2DD"/>
          <w:right w:val="single" w:sz="6" w:space="0" w:color="D8E2DD"/>
          <w:insideH w:val="single" w:sz="6" w:space="0" w:color="D8E2DD"/>
          <w:insideV w:val="single" w:sz="6" w:space="0" w:color="D8E2DD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1927"/>
        <w:gridCol w:w="2381"/>
        <w:gridCol w:w="3061"/>
      </w:tblGrid>
      <w:tr>
        <w:trPr>
          <w:trHeight w:val="465"/>
          <w:tblHeader/>
        </w:trPr>
        <w:tc>
          <w:tcPr>
            <w:tcW w:type="dxa" w:w="2041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登录名</w:t>
            </w:r>
          </w:p>
        </w:tc>
        <w:tc>
          <w:tcPr>
            <w:tcW w:type="dxa" w:w="1928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姓名</w:t>
            </w:r>
          </w:p>
        </w:tc>
        <w:tc>
          <w:tcPr>
            <w:tcW w:type="dxa" w:w="2381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角色</w:t>
            </w:r>
          </w:p>
        </w:tc>
        <w:tc>
          <w:tcPr>
            <w:tcW w:type="dxa" w:w="3061"/>
            <w:shd w:val="clear" w:color="auto" w:fill="0F5A46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288" w:lineRule="auto"/>
              <w:jc w:val="center"/>
            </w:pPr>
            <w:r>
              <w:rPr>
                <w:rFonts w:ascii="微软雅黑" w:hAnsi="微软雅黑" w:eastAsia="微软雅黑" w:cs="微软雅黑"/>
                <w:b/>
                <w:color w:val="FFFFFF"/>
                <w:sz w:val="17"/>
              </w:rPr>
              <w:t>数据范围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laoban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王海涛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老板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全部数据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yunying</w:t>
            </w:r>
          </w:p>
        </w:tc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陈志强</w:t>
            </w:r>
          </w:p>
        </w:tc>
        <w:tc>
          <w:tcPr>
            <w:tcW w:type="dxa" w:w="238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运营总监</w:t>
            </w:r>
          </w:p>
        </w:tc>
        <w:tc>
          <w:tcPr>
            <w:tcW w:type="dxa" w:w="306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全部数据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pianqu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刘鹏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片区经理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雁塔片区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siji</w:t>
            </w:r>
          </w:p>
        </w:tc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张建军</w:t>
            </w:r>
          </w:p>
        </w:tc>
        <w:tc>
          <w:tcPr>
            <w:tcW w:type="dxa" w:w="238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司机</w:t>
            </w:r>
          </w:p>
        </w:tc>
        <w:tc>
          <w:tcPr>
            <w:tcW w:type="dxa" w:w="306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本片区 / 手机端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zhanzhang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李红军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打包站站长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本站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zuzhang</w:t>
            </w:r>
          </w:p>
        </w:tc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赵敏</w:t>
            </w:r>
          </w:p>
        </w:tc>
        <w:tc>
          <w:tcPr>
            <w:tcW w:type="dxa" w:w="238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分拣组长</w:t>
            </w:r>
          </w:p>
        </w:tc>
        <w:tc>
          <w:tcPr>
            <w:tcW w:type="dxa" w:w="306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本站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fenjian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孙丽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分拣员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仅本人 / 手机端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tongji</w:t>
            </w:r>
          </w:p>
        </w:tc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周静</w:t>
            </w:r>
          </w:p>
        </w:tc>
        <w:tc>
          <w:tcPr>
            <w:tcW w:type="dxa" w:w="238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统计员</w:t>
            </w:r>
          </w:p>
        </w:tc>
        <w:tc>
          <w:tcPr>
            <w:tcW w:type="dxa" w:w="306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全部（只读为主）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xiaoshou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马超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销售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全部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caiwu</w:t>
            </w:r>
          </w:p>
        </w:tc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吴敏</w:t>
            </w:r>
          </w:p>
        </w:tc>
        <w:tc>
          <w:tcPr>
            <w:tcW w:type="dxa" w:w="238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财务</w:t>
            </w:r>
          </w:p>
        </w:tc>
        <w:tc>
          <w:tcPr>
            <w:tcW w:type="dxa" w:w="306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全部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admin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系统管理员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系统管理员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全部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hehuo</w:t>
            </w:r>
          </w:p>
        </w:tc>
        <w:tc>
          <w:tcPr>
            <w:tcW w:type="dxa" w:w="1928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李国栋</w:t>
            </w:r>
          </w:p>
        </w:tc>
        <w:tc>
          <w:tcPr>
            <w:tcW w:type="dxa" w:w="238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合伙人（外部 P01）</w:t>
            </w:r>
          </w:p>
        </w:tc>
        <w:tc>
          <w:tcPr>
            <w:tcW w:type="dxa" w:w="3061"/>
            <w:shd w:val="clear" w:color="auto" w:fill="F4FAF7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仅本人名下柜 / 站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maifang</w:t>
            </w:r>
          </w:p>
        </w:tc>
        <w:tc>
          <w:tcPr>
            <w:tcW w:type="dxa" w:w="1928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西安旧书坊 · 孙老板</w:t>
            </w:r>
          </w:p>
        </w:tc>
        <w:tc>
          <w:tcPr>
            <w:tcW w:type="dxa" w:w="238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买方客户（外部 P02）</w:t>
            </w:r>
          </w:p>
        </w:tc>
        <w:tc>
          <w:tcPr>
            <w:tcW w:type="dxa" w:w="3061"/>
            <w:tcMar>
              <w:top w:w="70" w:type="dxa"/>
              <w:bottom w:w="70" w:type="dxa"/>
              <w:start w:w="130" w:type="dxa"/>
              <w:end w:w="130" w:type="dxa"/>
            </w:tcMar>
          </w:tcPr>
          <w:p>
            <w:pPr>
              <w:spacing w:after="0" w:line="324" w:lineRule="auto"/>
              <w:jc w:val="left"/>
            </w:pPr>
            <w:r>
              <w:rPr>
                <w:rFonts w:ascii="微软雅黑" w:hAnsi="微软雅黑" w:eastAsia="微软雅黑" w:cs="微软雅黑"/>
                <w:b w:val="0"/>
                <w:color w:val="1A2B26"/>
                <w:sz w:val="16"/>
              </w:rPr>
              <w:t>仅本企业挂牌货源</w:t>
            </w:r>
          </w:p>
        </w:tc>
      </w:tr>
    </w:tbl>
    <w:p>
      <w:pPr>
        <w:spacing w:before="120" w:after="120" w:line="396" w:lineRule="auto"/>
        <w:jc w:val="left"/>
      </w:pPr>
      <w:r>
        <w:rPr>
          <w:rFonts w:ascii="微软雅黑" w:hAnsi="微软雅黑" w:eastAsia="微软雅黑" w:cs="微软雅黑"/>
          <w:b w:val="0"/>
          <w:i w:val="0"/>
          <w:color w:val="5F6F69"/>
          <w:sz w:val="17"/>
        </w:rPr>
        <w:t>登录页可直接点姓名一键切换身份；司机与分拣员账号登录后默认进入手机端。演示数据为西安运营口径的模拟数据（1600 个柜子、24 个小区、2 万多条逐柜称重），不含任何真实客户信息。本手册内容与系统功能一一对应，若发现不一致，以系统为准，并欢迎反馈给我们。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 w:cs="微软雅黑"/>
        <w:color w:val="8C9B96"/>
        <w:sz w:val="17"/>
      </w:rPr>
      <w:t xml:space="preserve">算数科技　·　电话 18016313342　·　第 </w:t>
    </w:r>
    <w:r>
      <w:rPr>
        <w:rFonts w:ascii="微软雅黑" w:hAnsi="微软雅黑" w:eastAsia="微软雅黑" w:cs="微软雅黑"/>
        <w:color w:val="8C9B96"/>
        <w:sz w:val="17"/>
      </w:rPr>
      <w:fldChar w:fldCharType="begin"/>
      <w:instrText xml:space="preserve"> PAGE </w:instrText>
      <w:fldChar w:fldCharType="end"/>
    </w:r>
    <w:r>
      <w:rPr>
        <w:rFonts w:ascii="微软雅黑" w:hAnsi="微软雅黑" w:eastAsia="微软雅黑" w:cs="微软雅黑"/>
        <w:color w:val="8C9B96"/>
        <w:sz w:val="17"/>
      </w:rPr>
      <w:t xml:space="preserve"> / </w:t>
    </w:r>
    <w:r>
      <w:rPr>
        <w:rFonts w:ascii="微软雅黑" w:hAnsi="微软雅黑" w:eastAsia="微软雅黑" w:cs="微软雅黑"/>
        <w:color w:val="8C9B96"/>
        <w:sz w:val="17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微软雅黑" w:hAnsi="微软雅黑" w:eastAsia="微软雅黑" w:cs="微软雅黑"/>
        <w:color w:val="A7B7B2"/>
        <w:sz w:val="16"/>
      </w:rPr>
      <w:t>沪回收 · 废旧物资回收与分拣系统　|　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