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spacing w:after="120"/>
      </w:pPr>
      <w:r>
        <w:rPr>
          <w:rFonts w:ascii="微软雅黑" w:hAnsi="微软雅黑"/>
          <w:b/>
          <w:color w:val="BF7434"/>
          <w:sz w:val="30"/>
        </w:rPr>
        <w:t>再生资源回收行业</w:t>
      </w:r>
    </w:p>
    <w:p>
      <w:pPr>
        <w:spacing w:after="80"/>
      </w:pPr>
      <w:r>
        <w:rPr>
          <w:rFonts w:ascii="微软雅黑" w:hAnsi="微软雅黑"/>
          <w:b/>
          <w:color w:val="0F5D4E"/>
          <w:sz w:val="68"/>
        </w:rPr>
        <w:t>云　系　统</w:t>
      </w:r>
    </w:p>
    <w:p>
      <w:pPr>
        <w:spacing w:after="360"/>
      </w:pPr>
      <w:r>
        <w:rPr>
          <w:rFonts w:ascii="微软雅黑" w:hAnsi="微软雅黑"/>
          <w:b/>
          <w:color w:val="1A2421"/>
          <w:sz w:val="40"/>
        </w:rPr>
        <w:t>产 品 宣 传 手 册</w:t>
      </w:r>
    </w:p>
    <w:p>
      <w:pPr>
        <w:spacing w:after="280"/>
      </w:pPr>
      <w:r>
        <w:rPr>
          <w:color w:val="BF7434"/>
        </w:rPr>
        <w:t>──────────────────────────────</w:t>
      </w:r>
    </w:p>
    <w:p>
      <w:pPr>
        <w:spacing w:before="0" w:after="280" w:line="336" w:lineRule="auto"/>
      </w:pPr>
      <w:r>
        <w:rPr>
          <w:rFonts w:ascii="微软雅黑" w:hAnsi="微软雅黑"/>
          <w:b/>
          <w:color w:val="0F5D4E"/>
          <w:sz w:val="28"/>
        </w:rPr>
        <w:t>一车废钢从进厂到分钱，一条链跑完。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产品全称：</w:t>
      </w:r>
      <w:r>
        <w:rPr>
          <w:rFonts w:ascii="微软雅黑" w:hAnsi="微软雅黑"/>
          <w:color w:val="33413C"/>
          <w:sz w:val="20"/>
        </w:rPr>
        <w:t>再生资源回收行业云系统（短名：再生资源回收云）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版本：</w:t>
      </w:r>
      <w:r>
        <w:rPr>
          <w:rFonts w:ascii="微软雅黑" w:hAnsi="微软雅黑"/>
          <w:color w:val="33413C"/>
          <w:sz w:val="20"/>
        </w:rPr>
        <w:t>v1.0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适用范围：</w:t>
      </w:r>
      <w:r>
        <w:rPr>
          <w:rFonts w:ascii="微软雅黑" w:hAnsi="微软雅黑"/>
          <w:color w:val="33413C"/>
          <w:sz w:val="20"/>
        </w:rPr>
        <w:t>废钢、有色金属、废电缆、工业垃圾等再生资源 B2B 回收（只做企业客户）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厂商：</w:t>
      </w:r>
      <w:r>
        <w:rPr>
          <w:rFonts w:ascii="微软雅黑" w:hAnsi="微软雅黑"/>
          <w:color w:val="33413C"/>
          <w:sz w:val="20"/>
        </w:rPr>
        <w:t>算数科技 · 上海思扬信息科技有限公司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联合出品：</w:t>
      </w:r>
      <w:r>
        <w:rPr>
          <w:rFonts w:ascii="微软雅黑" w:hAnsi="微软雅黑"/>
          <w:color w:val="33413C"/>
          <w:sz w:val="20"/>
        </w:rPr>
        <w:t>算数云科技（深圳）有限公司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官网：</w:t>
      </w:r>
      <w:r>
        <w:rPr>
          <w:rFonts w:ascii="微软雅黑" w:hAnsi="微软雅黑"/>
          <w:color w:val="33413C"/>
          <w:sz w:val="20"/>
        </w:rPr>
        <w:t>https://p.zerocod.cn/huishou5/public/site/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更新日期：</w:t>
      </w:r>
      <w:r>
        <w:rPr>
          <w:rFonts w:ascii="微软雅黑" w:hAnsi="微软雅黑"/>
          <w:color w:val="33413C"/>
          <w:sz w:val="20"/>
        </w:rPr>
        <w:t>2026-10-28</w:t>
      </w:r>
    </w:p>
    <w:p/>
    <w:p/>
    <w:p>
      <w:pPr>
        <w:spacing w:before="36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本手册共九章，含 14 个业务域、107 个页面的功能说明、六类落地场景与分账算例，可直接打印或转 PDF 随方案发送。</w:t>
      </w:r>
    </w:p>
    <w:p>
      <w:pPr>
        <w:spacing w:before="0" w:after="120" w:line="336" w:lineRule="auto"/>
      </w:pPr>
      <w:r>
        <w:rPr>
          <w:rFonts w:ascii="微软雅黑" w:hAnsi="微软雅黑"/>
          <w:b w:val="0"/>
          <w:color w:val="5E6E68"/>
          <w:sz w:val="18"/>
        </w:rPr>
        <w:t>© 2026 上海思扬信息科技有限公司　保留所有权利。引用请标注产品名称与来源链接。</w:t>
      </w:r>
    </w:p>
    <w:p>
      <w:pPr>
        <w:pageBreakBefore/>
        <w:spacing w:after="200"/>
      </w:pPr>
      <w:r>
        <w:rPr>
          <w:rFonts w:ascii="微软雅黑" w:hAnsi="微软雅黑"/>
          <w:b/>
          <w:color w:val="0F5D4E"/>
          <w:sz w:val="34"/>
        </w:rPr>
        <w:t>目　录</w:t>
      </w:r>
    </w:p>
    <w:p>
      <w:pPr>
        <w:spacing w:line="408" w:lineRule="auto"/>
      </w:pPr>
      <w:r>
        <w:fldChar w:fldCharType="begin"/>
      </w:r>
      <w:r>
        <w:instrText xml:space="preserve"> TOC \o "1-1" \h \z \u </w:instrText>
      </w:r>
      <w:r>
        <w:fldChar w:fldCharType="separate"/>
      </w:r>
      <w:r>
        <w:rPr>
          <w:sz w:val="18"/>
        </w:rPr>
        <w:t>（在 Word 中右键「更新域」生成目录）</w:t>
      </w:r>
      <w:r>
        <w:fldChar w:fldCharType="end"/>
      </w:r>
    </w:p>
    <w:p>
      <w:pPr>
        <w:spacing w:before="0" w:after="120" w:line="336" w:lineRule="auto"/>
      </w:pPr>
      <w:r>
        <w:rPr>
          <w:rFonts w:ascii="微软雅黑" w:hAnsi="微软雅黑"/>
          <w:b w:val="0"/>
          <w:color w:val="5E6E68"/>
          <w:sz w:val="17"/>
        </w:rPr>
        <w:t>提示：目录为 Word 域。打开文档后按 Ctrl+A 再按 F9，或右键选择「更新域 → 更新整个目录」即可生成页码。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33413C"/>
          <w:sz w:val="18"/>
        </w:rPr>
        <w:t>配套资料：功能清单 Excel（107 条明细）、功能介绍 PPT（15 页）可在官网下载中心获取，与本手册使用同一套模块编号，可交叉引用。</w:t>
      </w:r>
    </w:p>
    <w:p>
      <w:pPr>
        <w:pStyle w:val="Heading1"/>
        <w:pageBreakBefore/>
      </w:pPr>
      <w:r>
        <w:rPr>
          <w:sz w:val="34"/>
        </w:rPr>
        <w:t>第一章　产品定位与适用范围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再生资源回收行业云系统（短名「再生资源回收云」）是面向企业产废 B2B 回收的经营系统，由算数科技研发，上海思扬信息科技有限公司出品，与算数云科技（深圳）有限公司联合推向市场。它解决的不是「有没有系统用」，而是「重量、单据、钱能不能互相对得上」。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回收行业的单据看起来简单：收货、过磅、加工、卖货、收钱、分钱。但真正做过的人都知道，每一环都有一个「对不上」的坑：毛重皮重记错了、剪切完料少了说不清、合伙人垫了多少只有微信记录、月底运费靠计算器加、投标保证金压在外面忘了退。这些坑的共同点是——事后无法还原。</w:t>
      </w:r>
    </w:p>
    <w:p>
      <w:pPr>
        <w:spacing w:before="0" w:after="40" w:line="384" w:lineRule="auto"/>
      </w:pPr>
      <w:r>
        <w:rPr>
          <w:rFonts w:ascii="微软雅黑" w:hAnsi="微软雅黑"/>
          <w:b w:val="0"/>
          <w:color w:val="33413C"/>
          <w:sz w:val="21"/>
        </w:rPr>
        <w:t>所以本系统的设计原则只有四条：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账实一致：净重自动算，库存按重量结存，加工必须「投入 = 产出 + 损耗」。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一单到底：一张业务单串起采购、运输、过磅、加工、销售、收付款与分账，任意时间点可还原。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分账可算：先扣垫付本金，再按占比分利润，过程逐步可展开、可导出、可红冲。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全程留痕：字段级记录谁、何时、原值、新值、IP；单据只作废冲红，不物理删除。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her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1-1　企业产废进厂、堆场加工、下家出货：系统覆盖的真实业务现场</w:t>
      </w:r>
    </w:p>
    <w:p>
      <w:pPr>
        <w:pStyle w:val="Heading2"/>
      </w:pPr>
      <w:r>
        <w:t>1.1　适用与不适用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 w:val="true"/>
        </w:trPr>
        <w:tc>
          <w:tcPr>
            <w:tcW w:type="dxa" w:w="170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396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适用</w:t>
            </w:r>
          </w:p>
        </w:tc>
        <w:tc>
          <w:tcPr>
            <w:tcW w:type="dxa" w:w="3628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不适用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客户类型</w:t>
            </w:r>
          </w:p>
        </w:tc>
        <w:tc>
          <w:tcPr>
            <w:tcW w:type="dxa" w:w="396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企业产废（工厂、工地、园区）的 B2B 回收公司</w:t>
            </w:r>
          </w:p>
        </w:tc>
        <w:tc>
          <w:tcPr>
            <w:tcW w:type="dxa" w:w="362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以居民散户投递为主的社区回收点 / 回收柜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品类</w:t>
            </w:r>
          </w:p>
        </w:tc>
        <w:tc>
          <w:tcPr>
            <w:tcW w:type="dxa" w:w="396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废钢、废电缆、有色金属、工业垃圾等再生资源</w:t>
            </w:r>
          </w:p>
        </w:tc>
        <w:tc>
          <w:tcPr>
            <w:tcW w:type="dxa" w:w="362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报废汽车整车拆解（需专项资质与专门流程）</w:t>
            </w:r>
          </w:p>
        </w:tc>
      </w:tr>
      <w:tr>
        <w:trPr>
          <w:cantSplit w:val="true"/>
        </w:trPr>
        <w:tc>
          <w:tcPr>
            <w:tcW w:type="dxa" w:w="170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经营形态</w:t>
            </w:r>
          </w:p>
        </w:tc>
        <w:tc>
          <w:tcPr>
            <w:tcW w:type="dxa" w:w="396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有堆场、有剪切分拣、有运输、有合伙人、参与招投标</w:t>
            </w:r>
          </w:p>
        </w:tc>
        <w:tc>
          <w:tcPr>
            <w:tcW w:type="dxa" w:w="362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仅做信息撮合、不碰货与资金的中介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规模</w:t>
            </w:r>
          </w:p>
        </w:tc>
        <w:tc>
          <w:tcPr>
            <w:tcW w:type="dxa" w:w="396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一期按单一回收公司设计，多主体多组织预留</w:t>
            </w:r>
          </w:p>
        </w:tc>
        <w:tc>
          <w:tcPr>
            <w:tcW w:type="dxa" w:w="362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需要集团多法人合并报表的大型集团（需另行评估）</w:t>
            </w:r>
          </w:p>
        </w:tc>
      </w:tr>
    </w:tbl>
    <w:p>
      <w:pPr>
        <w:spacing w:after="40"/>
      </w:pPr>
    </w:p>
    <w:p>
      <w:pPr>
        <w:pStyle w:val="Heading2"/>
      </w:pPr>
      <w:r>
        <w:t>1.2　一期做到了什么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一期共 14 个业务域、107 个页面，业务闭环一次做全，不是先上半套再说。其中 33 个页面被标记为核心页（★），集中在过磅入库、库存加工、分账结算、招投标保证金与审计留痕——也就是最容易出问题的地方。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298"/>
      </w:tblGrid>
      <w:tr>
        <w:tc>
          <w:tcPr>
            <w:tcW w:type="dxa" w:w="9298"/>
            <w:shd w:val="clear" w:color="auto" w:fill="EDF5F1"/>
          </w:tcPr>
          <w:p>
            <w:pPr>
              <w:spacing w:after="60"/>
            </w:pPr>
            <w:r>
              <w:rPr>
                <w:rFonts w:ascii="微软雅黑" w:hAnsi="微软雅黑"/>
                <w:b/>
                <w:color w:val="0F5D4E"/>
                <w:sz w:val="21"/>
              </w:rPr>
              <w:t>为什么强调「页面数」</w:t>
            </w:r>
          </w:p>
          <w:p>
            <w:pPr>
              <w:spacing w:after="0" w:line="360" w:lineRule="auto"/>
            </w:pPr>
            <w:r>
              <w:rPr>
                <w:rFonts w:ascii="微软雅黑" w:hAnsi="微软雅黑"/>
                <w:color w:val="33413C"/>
                <w:sz w:val="20"/>
              </w:rPr>
              <w:t>功能清单里的每一条都能在系统里点开。报价与实施范围以页面为单位对齐，验收时逐条勾选，避免「说好的功能」变成扯皮。这是我们把 107 条全部写进 Excel 的原因。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sz w:val="34"/>
        </w:rPr>
        <w:t>第二章　六类落地场景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下面六类场景，是回收公司日常最常撞上的六件事。每一类都对应一组具体功能，也都能在演示环境里用真实单据跑一遍。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序号</w:t>
            </w:r>
          </w:p>
        </w:tc>
        <w:tc>
          <w:tcPr>
            <w:tcW w:type="dxa" w:w="238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场景</w:t>
            </w:r>
          </w:p>
        </w:tc>
        <w:tc>
          <w:tcPr>
            <w:tcW w:type="dxa" w:w="3742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一句话</w:t>
            </w:r>
          </w:p>
        </w:tc>
        <w:tc>
          <w:tcPr>
            <w:tcW w:type="dxa" w:w="238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对应功能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2.1</w:t>
            </w:r>
          </w:p>
        </w:tc>
        <w:tc>
          <w:tcPr>
            <w:tcW w:type="dxa" w:w="238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企业产废进厂</w:t>
            </w:r>
          </w:p>
        </w:tc>
        <w:tc>
          <w:tcPr>
            <w:tcW w:type="dxa" w:w="374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厂里拉出来一车废钢，车往磅上一停，净重就该定下来 —— 不是事后凭记忆填个大概数。</w:t>
            </w:r>
          </w:p>
        </w:tc>
        <w:tc>
          <w:tcPr>
            <w:tcW w:type="dxa" w:w="238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采购单 · 过磅 · 入库台账 · 付款状态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2.2</w:t>
            </w:r>
          </w:p>
        </w:tc>
        <w:tc>
          <w:tcPr>
            <w:tcW w:type="dxa" w:w="238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堆场与剪切加工</w:t>
            </w:r>
          </w:p>
        </w:tc>
        <w:tc>
          <w:tcPr>
            <w:tcW w:type="dxa" w:w="374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堆场最怕两件事：料去哪了说不清、损耗到底多少没有账。系统把加工做成一道算术题。</w:t>
            </w:r>
          </w:p>
        </w:tc>
        <w:tc>
          <w:tcPr>
            <w:tcW w:type="dxa" w:w="238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库存台账 · 剪切单 · 分拣单 · 重量守恒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2.3</w:t>
            </w:r>
          </w:p>
        </w:tc>
        <w:tc>
          <w:tcPr>
            <w:tcW w:type="dxa" w:w="238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废电缆拆解</w:t>
            </w:r>
          </w:p>
        </w:tc>
        <w:tc>
          <w:tcPr>
            <w:tcW w:type="dxa" w:w="374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一车废电缆进来，拆完是铜、是铝、还有皮。三个产出加上损耗，要跟投入对得上，不然就是糊涂账。</w:t>
            </w:r>
          </w:p>
        </w:tc>
        <w:tc>
          <w:tcPr>
            <w:tcW w:type="dxa" w:w="238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分拣单 · 分类 SKU · 损耗登记 · 成本分摊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2.4</w:t>
            </w:r>
          </w:p>
        </w:tc>
        <w:tc>
          <w:tcPr>
            <w:tcW w:type="dxa" w:w="238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运输与运费月结</w:t>
            </w:r>
          </w:p>
        </w:tc>
        <w:tc>
          <w:tcPr>
            <w:tcW w:type="dxa" w:w="374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运费一车一笔记在业务单里，月底按运输方一键出对账单，金额就是各单运费合计，能下钻到每一车。</w:t>
            </w:r>
          </w:p>
        </w:tc>
        <w:tc>
          <w:tcPr>
            <w:tcW w:type="dxa" w:w="238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运单 · 月结对账单 · 运输方应付 · 运费分摊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2.5</w:t>
            </w:r>
          </w:p>
        </w:tc>
        <w:tc>
          <w:tcPr>
            <w:tcW w:type="dxa" w:w="238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合伙人垫资与分账</w:t>
            </w:r>
          </w:p>
        </w:tc>
        <w:tc>
          <w:tcPr>
            <w:tcW w:type="dxa" w:w="374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合伙人最常吵的一句是「这单到底怎么算的」。系统把算法写在单据上：先扣回各自垫付本金，再按占比分利润，现金要守恒。</w:t>
            </w:r>
          </w:p>
        </w:tc>
        <w:tc>
          <w:tcPr>
            <w:tcW w:type="dxa" w:w="238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垫付台账 · 分账试算 · 结算单 · 过程明细 · 红冲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2.6</w:t>
            </w:r>
          </w:p>
        </w:tc>
        <w:tc>
          <w:tcPr>
            <w:tcW w:type="dxa" w:w="238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招投标保证金</w:t>
            </w:r>
          </w:p>
        </w:tc>
        <w:tc>
          <w:tcPr>
            <w:tcW w:type="dxa" w:w="374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保证金是「压在外面的钱」。项目一多，哪笔到期、哪个平台还压着多少押金，很容易忘。</w:t>
            </w:r>
          </w:p>
        </w:tc>
        <w:tc>
          <w:tcPr>
            <w:tcW w:type="dxa" w:w="238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平台档案 · 保证金台账 · 到账核验 · 报价提醒</w:t>
            </w:r>
          </w:p>
        </w:tc>
      </w:tr>
    </w:tbl>
    <w:p>
      <w:pPr>
        <w:spacing w:after="40"/>
      </w:pPr>
    </w:p>
    <w:p>
      <w:pPr>
        <w:pStyle w:val="Heading2"/>
        <w:pageBreakBefore/>
      </w:pPr>
      <w:r>
        <w:t>2.1　企业产废进厂：一车一单，净重说了算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厂里拉出来一车废钢，车往磅上一停，净重就该定下来 —— 不是事后凭记忆填个大概数。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毛重减皮重自动算净重，也支持直接录净重；车号、司机、时间、磅单照片一起留档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入库即进库存与应付：欠 A 多少当场就有数，不用月底翻本子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磅单照片挂在单据上，事后对账有图有数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发现货不对板，走退货/扣杂/质量争议，扣多少留痕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weig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2-1　企业产废进厂</w:t>
      </w:r>
    </w:p>
    <w:p>
      <w:pPr>
        <w:pStyle w:val="Heading2"/>
        <w:pageBreakBefore/>
      </w:pPr>
      <w:r>
        <w:t>2.2　堆场与剪切加工：投入必须等于产出加损耗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堆场最怕两件事：料去哪了说不清、损耗到底多少没有账。系统把加工做成一道算术题。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库存按 SKU 重量结存，入库增、出库减、加工变形，流水逐笔可重算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剪切单、分拣单都做重量守恒校验：投入 = 产出 + 损耗，不平不允许提交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盘盈盘亏走库存调整，谁调的、调多少、什么理由全留痕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负库存有控制，不靠人盯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shea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2-2　堆场与剪切加工</w:t>
      </w:r>
    </w:p>
    <w:p>
      <w:pPr>
        <w:pStyle w:val="Heading2"/>
        <w:pageBreakBefore/>
      </w:pPr>
      <w:r>
        <w:t>2.3　废电缆拆解：铜、铝、皮分开，产出对得上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一车废电缆进来，拆完是铜、是铝、还有皮。三个产出加上损耗，要跟投入对得上，不然就是糊涂账。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拆解按「混合料 → 分类 SKU」出分拣单，各产出分别进库存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铜、铝、皮按各自单价计价，成本自动摊回去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拆解损耗单独登记，不混进某一个产出的成本里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同一批料拆了几次、每次产出多少，台账里能翻出来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cab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2-3　废电缆拆解</w:t>
      </w:r>
    </w:p>
    <w:p>
      <w:pPr>
        <w:pStyle w:val="Heading2"/>
        <w:pageBreakBefore/>
      </w:pPr>
      <w:r>
        <w:t>2.4　运输与运费月结：月底不再对着一堆单子加总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运费一车一笔记在业务单里，月底按运输方一键出对账单，金额就是各单运费合计，能下钻到每一车。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运单挂运输方、起止地、车号、运费，并关联采购或销售单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月底按 D 汇总：单数、总运费、已付/未付，一键生成对账单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对账单确认后走到付款，状态可跟踪；运输方应付台账实时更新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运费可分摊到单、到 SKU，毛利算得更准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truck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2-4　运输与运费月结</w:t>
      </w:r>
    </w:p>
    <w:p>
      <w:pPr>
        <w:pStyle w:val="Heading2"/>
        <w:pageBreakBefore/>
      </w:pPr>
      <w:r>
        <w:t>2.5　合伙人垫资与分账：先还本金，再分利润，过程能一行行看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合伙人最常吵的一句是「这单到底怎么算的」。系统把算法写在单据上：先扣回各自垫付本金，再按占比分利润，现金要守恒。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垫付一笔一笔记：谁垫、垫给谁（A 或运费或费用）、什么时候垫、是否计息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分账试算不落账：收入 − 各项成本 − 垫付本金 = 可分配利润 → 各方分成 → 实付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Step1–Step9 每一步可展开、可导出，争议时直接摊开给对方看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确认后才生成应付与收付款；算错了走红冲，原记录保留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sett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2-5　合伙人垫资与分账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20"/>
        </w:rPr>
        <w:t>标准算例（口径与产品规格一致）：采购 10 万元、运费 3,000 元、销售 12 万元，合伙人 X 垫付货款 10 万元并按净利 4 成分成。</w:t>
      </w:r>
    </w:p>
    <w:p>
      <w:pPr>
        <w:pStyle w:val="Heading2"/>
        <w:pageBreakBefore/>
      </w:pPr>
      <w:r>
        <w:t>2.6　招投标保证金：钱压在哪、什么时候该退，一目了然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保证金是「压在外面的钱」。项目一多，哪笔到期、哪个平台还压着多少押金，很容易忘。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单项目保证金与平台常驻押金分开核算，不混在一起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缴纳、应退时间、退回状态逐笔登记；退回必须人工验证到账才关闭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到期未退自动进「特别关注」，不用靠人记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平台押金按平台汇总剩余可循环额度，下次投标心里有数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e-bi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微软雅黑" w:hAnsi="微软雅黑"/>
          <w:color w:val="5E6E68"/>
          <w:sz w:val="17"/>
        </w:rPr>
        <w:t>图 2-6　招投标保证金</w:t>
      </w:r>
    </w:p>
    <w:p>
      <w:pPr>
        <w:pStyle w:val="Heading1"/>
        <w:pageBreakBefore/>
      </w:pPr>
      <w:r>
        <w:rPr>
          <w:sz w:val="34"/>
        </w:rPr>
        <w:t>第三章　功能架构总览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系统按业务域组织，共 14 个域、107 个页面。下表可作为选型对照表使用；逐页明细见第四章与《功能清单 Excel》。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页面分布：业务主线（采购、库存、销售、运输）共 31 页，资金与合伙（收付款、分账、发票、保证金）共 34 页，经营与管控（看板、报表、系统管理、审计）共 28 页，主数据与移动端共 14 页。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298"/>
      </w:tblGrid>
      <w:tr>
        <w:tc>
          <w:tcPr>
            <w:tcW w:type="dxa" w:w="9298"/>
            <w:shd w:val="clear" w:color="auto" w:fill="EDF5F1"/>
          </w:tcPr>
          <w:p>
            <w:pPr>
              <w:spacing w:after="60"/>
            </w:pPr>
            <w:r>
              <w:rPr>
                <w:rFonts w:ascii="微软雅黑" w:hAnsi="微软雅黑"/>
                <w:b/>
                <w:color w:val="0F5D4E"/>
                <w:sz w:val="21"/>
              </w:rPr>
              <w:t>107 个页面是怎么数出来的</w:t>
            </w:r>
          </w:p>
          <w:p>
            <w:pPr>
              <w:spacing w:after="0" w:line="360" w:lineRule="auto"/>
            </w:pPr>
            <w:r>
              <w:rPr>
                <w:rFonts w:ascii="微软雅黑" w:hAnsi="微软雅黑"/>
                <w:color w:val="33413C"/>
                <w:sz w:val="20"/>
              </w:rPr>
              <w:t>按「一个页面 = 一个可点开的菜单项」计数，不含弹窗与页签。每一次入库过磅、每一张分账单、每一笔保证金都是一个独立页面，这样报价、实施与验收才能逐条对齐，而不是用「包含但不限于」糊过去。</w:t>
            </w:r>
          </w:p>
        </w:tc>
      </w:tr>
    </w:tbl>
    <w:p>
      <w:pPr>
        <w:spacing w:after="40"/>
      </w:pPr>
    </w:p>
    <w:p>
      <w:pPr>
        <w:pStyle w:val="Heading3"/>
      </w:pPr>
      <w:r>
        <w:t>怎么读后面这一章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19"/>
        </w:rPr>
        <w:t>先看页数分布，判断是否覆盖你的业务链条：采购 → 库存加工 → 销售 → 收付款 → 分账 → 保证金。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19"/>
        </w:rPr>
        <w:t>标 ★ 的 33 个核心页是行业特色所在，建议在演示时优先看，也最值得在选型时逐条质询。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19"/>
        </w:rPr>
        <w:t>页面编号（如 I6 分账结算单）在功能清单 Excel、功能介绍 PPT 与本手册中完全一致，可直接写进招标文件。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19"/>
        </w:rPr>
        <w:t>一期不做的事集中在第八章，建议先看边界再看功能，避免后期范围争议。</w:t>
      </w:r>
    </w:p>
    <w:p>
      <w:pPr>
        <w:pageBreakBefore/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85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268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业务域</w:t>
            </w:r>
          </w:p>
        </w:tc>
        <w:tc>
          <w:tcPr>
            <w:tcW w:type="dxa" w:w="907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页面数</w:t>
            </w:r>
          </w:p>
        </w:tc>
        <w:tc>
          <w:tcPr>
            <w:tcW w:type="dxa" w:w="907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核心页</w:t>
            </w:r>
          </w:p>
        </w:tc>
        <w:tc>
          <w:tcPr>
            <w:tcW w:type="dxa" w:w="4365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解决什么问题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首页看板与门户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7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3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老板打开就能看：应收多少、应付多少、哪几单临期、哪些账目有问题。点数字直接下钻到单据。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移动共用与个人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6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—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在场地上就能干活：过磅拍照、审批付款、登记回款、扫码查单，手机和电脑同一套数据。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基础主数据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8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—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供应商、下家、运输方、合伙人、SKU 品类、仓库库位统一建档；往来单位支持合并去重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回收采购与过磅入库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9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4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一车一单：毛重减皮重自动算净重，车号、司机、磅单照片一起留档，入库即进库存与应付。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库存与剪切加工分拣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8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库存按 SKU 重量结存；剪切、分拣、废电缆拆解必须「投入 = 产出 + 损耗」，不平不让提交。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销售与出库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8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1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销售单可追溯来源采购与库存，出库过磅扣库存，下家回款自动核销并回写单据状态。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收付款与应收应付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9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收款认领核销、付款走审批、账龄按到期日自动分档，逾期当天进特别关注。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运输与运费对账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6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每单运费挂运输方，月底按运输方一键出对账单：单数、总运费、已付未付，能下钻到每一车。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合伙人与分账结算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10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10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系统核心。谁垫付、垫多少、什么时候垫，一笔一笔进台账；回款后先还垫付本金，再按占比分利润，Step1–Step9 过程可展开、可导出、可红冲。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发票管理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6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—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进项、销项发票登记并与采购/销售单勾对，「含票否」回写单据，差异一眼看出。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招投标保证金与押金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9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6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单项目保证金和平台常驻押金分开算；退回必须人工验证到账才关闭；报价开始/截止自动提醒。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报表中心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7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1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屏幕看到的和导出的是同一口径：日报周报、购销毛利、账龄、分账汇总、保证金台账。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</w:t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系统管理与权限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8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—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角色控菜单与按钮，数据范围控到本人/本部门/全部；未授权看不到数据（fail-closed）。</w:t>
            </w:r>
          </w:p>
        </w:tc>
      </w:tr>
      <w:tr>
        <w:trPr>
          <w:cantSplit w:val="true"/>
        </w:trPr>
        <w:tc>
          <w:tcPr>
            <w:tcW w:type="dxa" w:w="85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</w:t>
            </w:r>
          </w:p>
        </w:tc>
        <w:tc>
          <w:tcPr>
            <w:tcW w:type="dxa" w:w="226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审计与问题账目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6</w:t>
            </w:r>
          </w:p>
        </w:tc>
        <w:tc>
          <w:tcPr>
            <w:tcW w:type="dxa" w:w="90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2</w:t>
            </w:r>
          </w:p>
        </w:tc>
        <w:tc>
          <w:tcPr>
            <w:tcW w:type="dxa" w:w="436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任何字段的谁、何时、原值→新值、IP 都留痕；金额改动进专项日志；单据只作废冲红，永不物理删除。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226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合计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107</w:t>
            </w:r>
          </w:p>
        </w:tc>
        <w:tc>
          <w:tcPr>
            <w:tcW w:type="dxa" w:w="90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33</w:t>
            </w:r>
          </w:p>
        </w:tc>
        <w:tc>
          <w:tcPr>
            <w:tcW w:type="dxa" w:w="436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业务闭环一次做全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sz w:val="34"/>
        </w:rPr>
        <w:t>第四章　功能详解（逐域逐页）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本章按业务域逐页说明「这个页面做什么、谁用、和谁关联」。标 ★ 的页面是业务闭环关键节点，建议演示时优先看。</w:t>
      </w:r>
    </w:p>
    <w:p>
      <w:pPr>
        <w:pStyle w:val="Heading2"/>
      </w:pPr>
      <w:r>
        <w:t>A　首页看板与门户（7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老板打开就能看：应收多少、应付多少、哪几单临期、哪些账目有问题。点数字直接下钻到单据。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包含：经营看板、应收看板、应付看板、特别关注、问题账目跟进、待办与消息中心、登录页。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登录页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账号密码 / 手机号登录，图形验证码与失败锁定，登录后按角色进入对应首页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首页经营看板（应收/应付/现金概览）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应收、应付、现金与本月购销一屏汇总，按权限显示金额，点数字下钻到明细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应收看板（下钻）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按客户汇总应收、逾期与账龄分布，可按业务员与时间筛选并逐层下钻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 / 业务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应付看板（下钻）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按供应商、运输方、合伙人汇总应付，区分到期与未到期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特别关注（临期/逾期/异常改动/保证金未退）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临期、逾期、金额异常改动、保证金到期未退统一归集，逐条点开处理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主管 / 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问题账目跟进（争议/挂账/指派/状态）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争议与挂账登记后指派责任人，记录处理过程直到关闭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A7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待办与消息中心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待我审批、待我确认、系统提醒集中处理，站内消息与短信模板可配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全员</w:t>
            </w:r>
          </w:p>
        </w:tc>
      </w:tr>
    </w:tbl>
    <w:p>
      <w:pPr>
        <w:spacing w:after="40"/>
      </w:pPr>
    </w:p>
    <w:p>
      <w:pPr>
        <w:pStyle w:val="Heading2"/>
      </w:pPr>
      <w:r>
        <w:t>B　移动共用与个人（6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在场地上就能干活：过磅拍照、审批付款、登记回款、扫码查单，手机和电脑同一套数据。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包含：移动端首页、移动过磅入库、移动审批与分账确认、移动收付款登记、扫码查单、个人设置。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移动端首页（适配看板）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手机适配看板与快捷入口（过磅、审批、收款、扫码），常用功能一键直达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移动过磅入库（拍照、重量、车号）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现场称重录毛重皮重、选车号司机、拍照上传磅单，自动生成入库记录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磅房 / 仓管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移动审批与分账确认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手机查看金额与分账过程明细后审批 / 二次确认，防止误点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合伙人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移动收付款登记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现场收到下家款项立即登记并认领单据，状态同步电脑端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扫码查单/查往来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扫单据二维码查看整单时间线、往来余额与历史交易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B6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个人设置与修改密码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修改密码、绑定手机号、消息提醒开关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全员</w:t>
            </w:r>
          </w:p>
        </w:tc>
      </w:tr>
    </w:tbl>
    <w:p>
      <w:pPr>
        <w:spacing w:after="40"/>
      </w:pPr>
    </w:p>
    <w:p>
      <w:pPr>
        <w:pStyle w:val="Heading2"/>
      </w:pPr>
      <w:r>
        <w:t>C　基础主数据（8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供应商、下家、运输方、合伙人、SKU 品类、仓库库位统一建档；往来单位支持合并去重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包含：A 厂家档案、C 下家档案、D 运输方档案、合伙人档案与协议、SKU/品类档案、仓库库位、费用类型字典、往来单位统一主档。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供应商 A（厂家）档案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厂家名称、联系人、地址、结算方式、含票口径、银行信息，支持停用与合并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采购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客户 C（下家）档案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下家档案与信用额度、账期、开票信息，出库时校验额度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业务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运输方 D 档案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承运方与司机车辆信息、计价方式、结算周期，供运单与月结引用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调度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合伙人档案与合作协议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合伙人基本信息、出资额、分成比例、协议附件与生效期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SKU/品类档案（规格、计价单位）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品类与规格（重废 / 轻薄料 / 铜 / 铝 / 电缆等）、计价单位、默认税率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仓管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仓库/库位设置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多仓库与库位编码，支持按库位查看结存与盘点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结算/费用类型字典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运费、装卸、加工、检测等费用类型，供单据与分账引用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C8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往来单位统一主档（含合并去重）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供应商 / 客户 / 运输方 / 合伙人统一视图，重复单位合并去重并保留映射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</w:t>
            </w:r>
          </w:p>
        </w:tc>
      </w:tr>
    </w:tbl>
    <w:p>
      <w:pPr>
        <w:spacing w:after="40"/>
      </w:pPr>
    </w:p>
    <w:p>
      <w:pPr>
        <w:pStyle w:val="Heading2"/>
      </w:pPr>
      <w:r>
        <w:t>D　回收采购与过磅入库（9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一车一单：毛重减皮重自动算净重，车号、司机、磅单照片一起留档，入库即进库存与应付。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包含：采购单列表/详情/新建、过磅入库、入库台账、采购付款状态、垫付登记、退货扣杂、价格历史。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采购单列表（筛选/导出）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按供应商、日期、状态、付款状态筛选，支持导出与批量查看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采购单详情（一单到底时间线）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一单到底时间线：下单 → 运输 → 过磅 → 入库 → 付款 → 分账全部节点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新建采购单（A、SKU、数量、单价、含票、运费）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选供应商与 SKU，录数量、单价、含票否、运费承担方，自动算预估金额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过磅入库（毛重/皮重/净重、车号、司机、磅单照片）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毛重 − 皮重自动算净重，记录车号、司机、时间与磅单照片，入库即增库存与应付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磅房 / 仓管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入库记录台账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按日期与 SKU 汇总入库重量与金额，可下钻到每笔过磅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 / 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采购付款登记/状态（是否已付 A）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登记付给厂家的每笔款项，回写采购单已付 / 未付与付款时间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垫付登记入口（谁垫付给 A，进分账）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记录谁替公司垫付了这笔货款，自动进垫付台账参与分账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合伙人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采购退货/扣杂/质量争议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退货数量、扣杂比例、争议原因与处理结果留痕，联动库存与应付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 / 质检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D9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采购价格与历史行情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同供应商同 SKU 的历史成交价曲线，辅助议价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 / 老板</w:t>
            </w:r>
          </w:p>
        </w:tc>
      </w:tr>
    </w:tbl>
    <w:p>
      <w:pPr>
        <w:spacing w:after="40"/>
      </w:pPr>
    </w:p>
    <w:p>
      <w:pPr>
        <w:pStyle w:val="Heading2"/>
      </w:pPr>
      <w:r>
        <w:t>E　库存与剪切加工分拣（8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库存按 SKU 重量结存；剪切、分拣、废电缆拆解必须「投入 = 产出 + 损耗」，不平不让提交。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包含：库存台账、库存流水、库存调整、剪切加工单、分拣单、加工记录台账、盘点、库位视图。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库存台账（按 SKU 重量结存）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 SKU 与仓库显示当前结存重量、金额与平均单价，支持多条件筛选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 / 老板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库存明细流水（入/出/调整）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入库、出库、调整、加工变形逐笔可查，支持按流水重算结存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库存调整（损耗/盘盈盘亏，留痕）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损耗、盘盈盘亏与原因登记，需审批，调整留痕不可删除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剪切加工单（投入→产出，重量守恒）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投入料与产出料分项登记，系统校验投入 = 产出 + 损耗，不平禁止提交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车间 / 仓管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分拣单（混合料→分类 SKU）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混合料拆分为分类 SKU（铜 / 铝 / 皮等），各产出分别入库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车间 / 仓管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加工/分拣记录台账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按单、按班组汇总加工投入产出与损耗率，看加工效率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车间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库存盘点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生成盘点任务、录实盘数、自动出差异并转库存调整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 / 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E8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仓库库位视图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查看各库位存放的 SKU 与重量，便于找料与调库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</w:t>
            </w:r>
          </w:p>
        </w:tc>
      </w:tr>
    </w:tbl>
    <w:p>
      <w:pPr>
        <w:spacing w:after="40"/>
      </w:pPr>
    </w:p>
    <w:p>
      <w:pPr>
        <w:pStyle w:val="Heading2"/>
      </w:pPr>
      <w:r>
        <w:t>F　销售与出库（8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销售单可追溯来源采购与库存，出库过磅扣库存，下家回款自动核销并回写单据状态。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包含：销售单列表/详情/新建、销售出库、回款登记、销售退回、价格行情、客户对账单。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销售单列表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按下家、日期、回款状态筛选，显示应收余额与逾期标记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销售单详情（关联来源库存/采购单）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显示来源采购单与库存批次，出库、开票、回款节点一屏可见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新建销售单（C、SKU、重量、单价、含票、运费归属）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选下家与 SKU，录重量、单价、含票否与运费归属，校验信用额度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销售出库（过磅/车号）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出库过磅记录车号与净重，扣减库存并生成应收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仓管 / 业务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销售回款登记/状态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登记下家回款并核销应收，回写单据已收 / 未收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销售退回/异议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退货入库与质量异议处理，联动库存、应收与发票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 / 质检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销售价格与行情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各 SKU 历史售价走势与毛利参考，辅助对外报价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 / 老板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F8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客户对账单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按客户与账期生成对账单，列明每单金额、已收与余额，可导出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业务</w:t>
            </w:r>
          </w:p>
        </w:tc>
      </w:tr>
    </w:tbl>
    <w:p>
      <w:pPr>
        <w:spacing w:after="40"/>
      </w:pPr>
    </w:p>
    <w:p>
      <w:pPr>
        <w:pStyle w:val="Heading2"/>
      </w:pPr>
      <w:r>
        <w:t>G　收付款与应收应付（9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收款认领核销、付款走审批、账龄按到期日自动分档，逾期当天进特别关注。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包含：收款单、付款单、应收台账、应付台账、核销、账户流水、其他费用、预收预付、坏账审批。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收款单（C 回款，认领核销）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登记下家回款（金额、方式、账户、时间），支持一单多收与预收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付款单（付 A / D / 其他，审批）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付厂家 / 运输方 / 其他费用，走审批后出账并回写单据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应收账款台账（账龄）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按客户与到期日分档统计账龄，逾期自动进特别关注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老板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应付账款台账（账龄）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按供应商 / 运输方 / 合伙人统计应付与到期结构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收付款核销（预收预付/多笔对冲）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支持预收预付、多笔对冲与部分核销，核销关系可追溯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现金/银行账户与流水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账户余额与收支流水，与收付款单双向对应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其他费用登记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装卸、检测、维修等杂费登记并可按单分摊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预收预付管理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预收预付余额台账，核销时优先抵扣并留痕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G9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坏账/核销审批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坏账认定与核销走审批，保留原始应收与证据附件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</w:tbl>
    <w:p>
      <w:pPr>
        <w:spacing w:after="40"/>
      </w:pPr>
    </w:p>
    <w:p>
      <w:pPr>
        <w:pStyle w:val="Heading2"/>
      </w:pPr>
      <w:r>
        <w:t>H　运输与运费对账（6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每单运费挂运输方，月底按运输方一键出对账单：单数、总运费、已付未付，能下钻到每一车。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包含：运单登记、运单列表、月底运输对账单、对账确认与付款、运输方应付台账、运费分摊。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运单登记（D、起止、车号、运费、关联单据）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录运输方、起止地、车号、运费并关联采购或销售单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调度 / 业务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运单列表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按运输方、日期、结算状态筛选，显示已付未付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调度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月底运输对账单（按 D 汇总，一键拉账单）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按运输方汇总当期单数、总运费与已付，一键生成对账单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对账单确认与付款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运输方确认后生成付款单，对账差异可标注处理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运输方应付台账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实时显示各运输方应付余额与最近结算日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H6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运费分摊（按单/SKU）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按单或按 SKU 分摊运费，计入成本与毛利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</w:tbl>
    <w:p>
      <w:pPr>
        <w:spacing w:after="40"/>
      </w:pPr>
    </w:p>
    <w:p>
      <w:pPr>
        <w:pStyle w:val="Heading2"/>
      </w:pPr>
      <w:r>
        <w:t>I　合伙人与分账结算（10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系统核心。谁垫付、垫多少、什么时候垫，一笔一笔进台账；回款后先还垫付本金，再按占比分利润，Step1–Step9 过程可展开、可导出、可红冲。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包含：合伙人名册、业务合伙绑定、垫付登记与台账、分账试算、结算单、过程明细、确认执行、红冲调整、分账台账。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合伙人名册与出资/占比设置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建档合伙人、出资额与分成比例，变更有生效日期与留痕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业务合伙关系绑定（单内合伙人与比例）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指定某单 / 某项目由哪些合伙人参与及各自占比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垫付登记（货款/运费/费用）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记录垫付人、垫付对象（货款 / 运费 / 费用）、金额与时间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垫付台账（含是否计息）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汇总各合伙人垫付本金与是否计息，作为分账先扣依据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合伙人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分账试算（不落账，完整过程）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输入收入与成本试算分账结果，不落账、可反复调整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分账结算单（收入−成本−垫付本金→利润→分成→实付）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收入 − 成本 − 垫付本金 → 可分配利润 → 按占比分成 → 各方实付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分账运算过程明细（逐步展开/导出）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Step1–Step9 逐步展开与导出，争议时可逐行核对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合伙人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分账确认与执行（生成应付/收付款）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二次确认后生成应付与收付款记录，状态同步台账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I9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分账红冲/调整（留痕）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算错或事后调整走红冲，保留原单与调整原因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I10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合伙人分账台账与（可选）合伙人只读视图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全部结算单与实付汇总，可开放合伙人只读查账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合伙人</w:t>
            </w:r>
          </w:p>
        </w:tc>
      </w:tr>
    </w:tbl>
    <w:p>
      <w:pPr>
        <w:spacing w:after="40"/>
      </w:pPr>
    </w:p>
    <w:p>
      <w:pPr>
        <w:pStyle w:val="Heading2"/>
      </w:pPr>
      <w:r>
        <w:t>J　发票管理（6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进项、销项发票登记并与采购/销售单勾对，「含票否」回写单据，差异一眼看出。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包含：销项台账、进项台账、开票收票登记、核验状态、税率字典、发票与单据对账。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销项发票台账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开给下家的发票登记，关联销售单并回写含票状态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进项发票台账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收到的进项发票登记，关联采购单与运输费用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开票/收票登记与标记（含票否回写单据）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发票号、金额、税率、开票日期登记，标记含票否并回写单据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发票核验状态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记录发票真伪核验与勾选状态，异常单独提示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税率/发票类型字典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维护增值税税率与发票类型，供开票与台账引用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管理员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J6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发票与单据对账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发票金额与业务单金额差异对比，差异需说明后才可关闭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</w:tbl>
    <w:p>
      <w:pPr>
        <w:spacing w:after="40"/>
      </w:pPr>
    </w:p>
    <w:p>
      <w:pPr>
        <w:pStyle w:val="Heading2"/>
      </w:pPr>
      <w:r>
        <w:t>K　招投标保证金与押金（9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单项目保证金和平台常驻押金分开算；退回必须人工验证到账才关闭；报价开始/截止自动提醒。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包含：平台档案、投标项目列表/详情、保证金缴纳、退回登记、退回验证、报价节点提醒、平台押金汇总、到期看板。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招标平台档案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维护招标平台名称、账号、常驻押金与联系人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投标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投标项目列表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按平台、状态、开标时间筛选，显示保证金与退回状态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投标项目详情（平台/项目/报名/保证金/节点）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平台、项目、报名信息、保证金、报价节点与结果集中展示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投标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保证金缴纳登记（金额、时间）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记录缴纳金额、时间、付款账户与凭证，关联投标项目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投标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保证金退回登记与应退时间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记录应退时间与退回申请，未到账不关闭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退回验证（是否实际到账，人工核验）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人工核对银行到账后才标记退回完成，避免账实不符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报价节点提醒（开始/截止）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报价开始 / 截止时间自动提醒，避免错过窗口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投标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平台常驻押金汇总（剩余可循环押金）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按平台汇总押金总额、占用与剩余可循环额度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老板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K9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保证金/押金到期未退提醒看板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到期未退自动列示并推送，同步进特别关注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</w:tbl>
    <w:p>
      <w:pPr>
        <w:spacing w:after="40"/>
      </w:pPr>
    </w:p>
    <w:p>
      <w:pPr>
        <w:pStyle w:val="Heading2"/>
      </w:pPr>
      <w:r>
        <w:t>L　报表中心（7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屏幕看到的和导出的是同一口径：日报周报、购销毛利、账龄、分账汇总、保证金台账。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包含：业务资金日报、购销毛利、账龄表、分账汇总、保证金押金台账、库存加工报表、自定义导出。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业务/资金日报周报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每日 / 每周采购、销售、收付款与资金余额汇总，可订阅推送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采购销售汇总与毛利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 SKU、客户、时间段统计购销差与毛利率（含运费分摊）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应收应付账龄表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账龄分档明细与占比，支持按客户 / 供应商导出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合伙人分账汇总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各合伙人垫付、分成与实付汇总，供对账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合伙人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保证金押金台账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全部投标项目保证金与平台押金的收支台账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库存与加工报表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结存、周转与加工损耗率分析，识别异常损耗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L7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自定义/导出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自选字段、条件与分组生成报表并导出 Excel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主管 / 财务</w:t>
            </w:r>
          </w:p>
        </w:tc>
      </w:tr>
    </w:tbl>
    <w:p>
      <w:pPr>
        <w:spacing w:after="40"/>
      </w:pPr>
    </w:p>
    <w:p>
      <w:pPr>
        <w:pStyle w:val="Heading2"/>
      </w:pPr>
      <w:r>
        <w:t>M　系统管理与权限（8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角色控菜单与按钮，数据范围控到本人/本部门/全部；未授权看不到数据（fail-closed）。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包含：账号、角色与按钮权限、数据范围、审批流配置、编号规则、数据字典、提醒模板、系统参数。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账号管理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建账号、分配角色与所属部门，支持停用与重置密码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角色与按钮权限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角色控菜单与按钮可见性，关键金额操作单独授权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数据范围（本人/部门/全部）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按本人 / 本部门 / 全部限定可见数据，未授权即查不到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审批流配置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配置付款、库存调整、坏账等单据的审批节点与条件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编号规则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采购单、销售单等单据编号前缀与流水规则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数据字典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维护品类、费用、单位等基础字典项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M7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提醒/消息模板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站内消息与短信模板，控制提醒触发条件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M8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系统参数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全局参数：含票默认、账期默认、负库存控制等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</w:tbl>
    <w:p>
      <w:pPr>
        <w:spacing w:after="40"/>
      </w:pPr>
    </w:p>
    <w:p>
      <w:pPr>
        <w:pStyle w:val="Heading2"/>
      </w:pPr>
      <w:r>
        <w:t>N　审计与问题账目（6 页）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0"/>
        </w:rPr>
        <w:t>任何字段的谁、何时、原值→新值、IP 都留痕；金额改动进专项日志；单据只作废冲红，永不物理删除。</w:t>
      </w: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包含：操作审计日志、金额变更专项日志、作废冲红记录、问题账目台账、处理流转、登录安全日志。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60"/>
        <w:gridCol w:w="1860"/>
        <w:gridCol w:w="1860"/>
        <w:gridCol w:w="1860"/>
        <w:gridCol w:w="1860"/>
      </w:tblGrid>
      <w:tr>
        <w:trPr>
          <w:tblHeader w:val="true"/>
        </w:trPr>
        <w:tc>
          <w:tcPr>
            <w:tcW w:type="dxa" w:w="7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编号</w:t>
            </w:r>
          </w:p>
        </w:tc>
        <w:tc>
          <w:tcPr>
            <w:tcW w:type="dxa" w:w="249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页面</w:t>
            </w:r>
          </w:p>
        </w:tc>
        <w:tc>
          <w:tcPr>
            <w:tcW w:type="dxa" w:w="413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680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核心</w:t>
            </w:r>
          </w:p>
        </w:tc>
        <w:tc>
          <w:tcPr>
            <w:tcW w:type="dxa" w:w="119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主要角色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N1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操作审计日志（谁/何时/字段/原值→新值）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记录谁在何时改了哪个字段、原值 → 新值、IP，可检索导出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 / 老板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N2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金额变更专项日志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金额类字段改动单独记录并强提醒，防内部改数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★</w:t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老板 / 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N3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单据作废/冲红记录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作废与冲红的原单、原因、操作人与关联红字单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管理员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N4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问题账目台账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争议与挂账集中登记，含金额、责任人与当前状态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N5</w:t>
            </w:r>
          </w:p>
        </w:tc>
        <w:tc>
          <w:tcPr>
            <w:tcW w:type="dxa" w:w="249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问题处理流转（指派/跟进/关闭）</w:t>
            </w:r>
          </w:p>
        </w:tc>
        <w:tc>
          <w:tcPr>
            <w:tcW w:type="dxa" w:w="413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指派、跟进、关闭的完整流转记录，超期提醒</w:t>
            </w:r>
          </w:p>
        </w:tc>
        <w:tc>
          <w:tcPr>
            <w:tcW w:type="dxa" w:w="680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财务 / 主管</w:t>
            </w:r>
          </w:p>
        </w:tc>
      </w:tr>
      <w:tr>
        <w:trPr>
          <w:cantSplit w:val="true"/>
        </w:trPr>
        <w:tc>
          <w:tcPr>
            <w:tcW w:type="dxa" w:w="794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N6</w:t>
            </w:r>
          </w:p>
        </w:tc>
        <w:tc>
          <w:tcPr>
            <w:tcW w:type="dxa" w:w="249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登录与安全日志</w:t>
            </w:r>
          </w:p>
        </w:tc>
        <w:tc>
          <w:tcPr>
            <w:tcW w:type="dxa" w:w="413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登录、失败尝试、异地与异常操作记录</w:t>
            </w:r>
          </w:p>
        </w:tc>
        <w:tc>
          <w:tcPr>
            <w:tcW w:type="dxa" w:w="680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</w:r>
          </w:p>
        </w:tc>
        <w:tc>
          <w:tcPr>
            <w:tcW w:type="dxa" w:w="119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管理员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sz w:val="34"/>
        </w:rPr>
        <w:t>第五章　角色与权限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权限不是「给个管理员账号大家用」。系统按角色控菜单与按钮，再按数据范围控行：未授权，连数据都查不到（fail-closed）。金额类关键操作单独授权，单据只允许作废冲红。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 w:val="true"/>
        </w:trPr>
        <w:tc>
          <w:tcPr>
            <w:tcW w:type="dxa" w:w="181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角色</w:t>
            </w:r>
          </w:p>
        </w:tc>
        <w:tc>
          <w:tcPr>
            <w:tcW w:type="dxa" w:w="3742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主要职责</w:t>
            </w:r>
          </w:p>
        </w:tc>
        <w:tc>
          <w:tcPr>
            <w:tcW w:type="dxa" w:w="181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手机端最常用</w:t>
            </w:r>
          </w:p>
        </w:tc>
        <w:tc>
          <w:tcPr>
            <w:tcW w:type="dxa" w:w="1928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关键限制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老板 / 负责人</w:t>
            </w:r>
          </w:p>
        </w:tc>
        <w:tc>
          <w:tcPr>
            <w:tcW w:type="dxa" w:w="374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看经营看板、审批付款、确认分账、投标决策、处理问题账目</w:t>
            </w:r>
          </w:p>
        </w:tc>
        <w:tc>
          <w:tcPr>
            <w:tcW w:type="dxa" w:w="181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看板、审批、分账确认</w:t>
            </w:r>
          </w:p>
        </w:tc>
        <w:tc>
          <w:tcPr>
            <w:tcW w:type="dxa" w:w="192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全部数据；可分账、看审计与保证金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财务 / 记账</w:t>
            </w:r>
          </w:p>
        </w:tc>
        <w:tc>
          <w:tcPr>
            <w:tcW w:type="dxa" w:w="374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收付款登记、核销、账龄跟踪、运费月账、发票台账；不能删除单据</w:t>
            </w:r>
          </w:p>
        </w:tc>
        <w:tc>
          <w:tcPr>
            <w:tcW w:type="dxa" w:w="181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登记收款/付款、催收</w:t>
            </w:r>
          </w:p>
        </w:tc>
        <w:tc>
          <w:tcPr>
            <w:tcW w:type="dxa" w:w="192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不可删除单据、不可改分账比例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采购 / 业务</w:t>
            </w:r>
          </w:p>
        </w:tc>
        <w:tc>
          <w:tcPr>
            <w:tcW w:type="dxa" w:w="374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建采购单、登记 A 与运费、过磅入库、跟进付款；本人单据可编辑</w:t>
            </w:r>
          </w:p>
        </w:tc>
        <w:tc>
          <w:tcPr>
            <w:tcW w:type="dxa" w:w="181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建单、过磅、查单据</w:t>
            </w:r>
          </w:p>
        </w:tc>
        <w:tc>
          <w:tcPr>
            <w:tcW w:type="dxa" w:w="192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本人及本部门单据，跨部门需授权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销售 / 业务</w:t>
            </w:r>
          </w:p>
        </w:tc>
        <w:tc>
          <w:tcPr>
            <w:tcW w:type="dxa" w:w="374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建销售单、出库、跟进 C 回款、发票</w:t>
            </w:r>
          </w:p>
        </w:tc>
        <w:tc>
          <w:tcPr>
            <w:tcW w:type="dxa" w:w="181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出库、查回款</w:t>
            </w:r>
          </w:p>
        </w:tc>
        <w:tc>
          <w:tcPr>
            <w:tcW w:type="dxa" w:w="192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本人及本部门销售与回款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仓库 / 过磅员</w:t>
            </w:r>
          </w:p>
        </w:tc>
        <w:tc>
          <w:tcPr>
            <w:tcW w:type="dxa" w:w="374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入库过磅（重量/车号/照片）、出库、剪切分拣记录、库存</w:t>
            </w:r>
          </w:p>
        </w:tc>
        <w:tc>
          <w:tcPr>
            <w:tcW w:type="dxa" w:w="181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大按钮过磅、拍照</w:t>
            </w:r>
          </w:p>
        </w:tc>
        <w:tc>
          <w:tcPr>
            <w:tcW w:type="dxa" w:w="192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默认不可见金额与分账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合伙人（可选）</w:t>
            </w:r>
          </w:p>
        </w:tc>
        <w:tc>
          <w:tcPr>
            <w:tcW w:type="dxa" w:w="374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只读查看自己参与的业务、垫付与分账</w:t>
            </w:r>
          </w:p>
        </w:tc>
        <w:tc>
          <w:tcPr>
            <w:tcW w:type="dxa" w:w="181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查分账结果</w:t>
            </w:r>
          </w:p>
        </w:tc>
        <w:tc>
          <w:tcPr>
            <w:tcW w:type="dxa" w:w="192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仅自己参与业务只读，不可导出全量</w:t>
            </w:r>
          </w:p>
        </w:tc>
      </w:tr>
    </w:tbl>
    <w:p>
      <w:pPr>
        <w:spacing w:after="40"/>
      </w:pP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数据范围三档：本人 / 本部门 / 全部。跨部门查看需单独授权；合伙人视图为可选能力，按合作协议开启，只有读权限。</w:t>
      </w:r>
    </w:p>
    <w:p>
      <w:pPr>
        <w:pStyle w:val="Heading1"/>
        <w:pageBreakBefore/>
      </w:pPr>
      <w:r>
        <w:rPr>
          <w:sz w:val="34"/>
        </w:rPr>
        <w:t>第六章　合伙人分账算例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分账是系统的核心模块，10 个页面全部为核心页。计算顺序固定，不允许跳步：收入 − 各项成本 − 垫付本金 = 可分配利润 → 按占比分成 → 各方实付。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 w:val="true"/>
        </w:trPr>
        <w:tc>
          <w:tcPr>
            <w:tcW w:type="dxa" w:w="2608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170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金额（元）</w:t>
            </w:r>
          </w:p>
        </w:tc>
        <w:tc>
          <w:tcPr>
            <w:tcW w:type="dxa" w:w="4989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说明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销售收入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120,000</w:t>
            </w:r>
          </w:p>
        </w:tc>
        <w:tc>
          <w:tcPr>
            <w:tcW w:type="dxa" w:w="498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卖给下家的不含税销售额（演示口径）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采购成本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−100,000</w:t>
            </w:r>
          </w:p>
        </w:tc>
        <w:tc>
          <w:tcPr>
            <w:tcW w:type="dxa" w:w="498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向 A 厂家采购货款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运费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−3,000</w:t>
            </w:r>
          </w:p>
        </w:tc>
        <w:tc>
          <w:tcPr>
            <w:tcW w:type="dxa" w:w="498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D 运输方承运费用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可分配净利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17,000</w:t>
            </w:r>
          </w:p>
        </w:tc>
        <w:tc>
          <w:tcPr>
            <w:tcW w:type="dxa" w:w="498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120,000 − 100,000 − 3,000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X 先收回垫付本金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100,000</w:t>
            </w:r>
          </w:p>
        </w:tc>
        <w:tc>
          <w:tcPr>
            <w:tcW w:type="dxa" w:w="498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垫付优先偿还，不参与利润分配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X 分成（净利 4 成）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6,800</w:t>
            </w:r>
          </w:p>
        </w:tc>
        <w:tc>
          <w:tcPr>
            <w:tcW w:type="dxa" w:w="498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17,000 × 40%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X 实收合计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106,800</w:t>
            </w:r>
          </w:p>
        </w:tc>
        <w:tc>
          <w:tcPr>
            <w:tcW w:type="dxa" w:w="4989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100,000 + 6,800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8"/>
              </w:rPr>
              <w:t>公司分成（净利 6 成）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8"/>
              </w:rPr>
              <w:t>10,200</w:t>
            </w:r>
          </w:p>
        </w:tc>
        <w:tc>
          <w:tcPr>
            <w:tcW w:type="dxa" w:w="4989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8"/>
              </w:rPr>
              <w:t>17,000 × 60%</w:t>
            </w:r>
          </w:p>
        </w:tc>
      </w:tr>
    </w:tbl>
    <w:p>
      <w:pPr>
        <w:spacing w:after="40"/>
      </w:pP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现金守恒校验：120,000 = 100,000（厂家货款）+ 3,000（运费）+ 17,000（可分配净利）。系统在分账保存前执行该校验，不平不允许提交。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298"/>
      </w:tblGrid>
      <w:tr>
        <w:tc>
          <w:tcPr>
            <w:tcW w:type="dxa" w:w="9298"/>
            <w:shd w:val="clear" w:color="auto" w:fill="EDF5F1"/>
          </w:tcPr>
          <w:p>
            <w:pPr>
              <w:spacing w:after="60"/>
            </w:pPr>
            <w:r>
              <w:rPr>
                <w:rFonts w:ascii="微软雅黑" w:hAnsi="微软雅黑"/>
                <w:b/>
                <w:color w:val="0F5D4E"/>
                <w:sz w:val="21"/>
              </w:rPr>
              <w:t>Step1–Step9 过程明细</w:t>
            </w:r>
          </w:p>
          <w:p>
            <w:pPr>
              <w:spacing w:after="0" w:line="360" w:lineRule="auto"/>
            </w:pPr>
            <w:r>
              <w:rPr>
                <w:rFonts w:ascii="微软雅黑" w:hAnsi="微软雅黑"/>
                <w:color w:val="33413C"/>
                <w:sz w:val="20"/>
              </w:rPr>
              <w:t>每一步的输入值、公式、结果都写入过程明细，可展开查看、可导出 Excel。合伙人质疑「这单怎么算的」，直接把明细发过去；算错走红冲，原单与调整原因都留在系统里。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rPr>
          <w:sz w:val="34"/>
        </w:rPr>
        <w:t>第七章　落地路径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不做一次性大上线。先跑通一条主线，用真实单据验证，再扩面。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 w:val="true"/>
        </w:trPr>
        <w:tc>
          <w:tcPr>
            <w:tcW w:type="dxa" w:w="737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步骤</w:t>
            </w:r>
          </w:p>
        </w:tc>
        <w:tc>
          <w:tcPr>
            <w:tcW w:type="dxa" w:w="170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阶段</w:t>
            </w:r>
          </w:p>
        </w:tc>
        <w:tc>
          <w:tcPr>
            <w:tcW w:type="dxa" w:w="4762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做什么</w:t>
            </w:r>
          </w:p>
        </w:tc>
        <w:tc>
          <w:tcPr>
            <w:tcW w:type="dxa" w:w="2098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产出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01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业务盘点</w:t>
            </w:r>
          </w:p>
        </w:tc>
        <w:tc>
          <w:tcPr>
            <w:tcW w:type="dxa" w:w="476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把现有单据、Excel、微信群里的口径摊开，确认 SKU、计价单位、含票口径、分账规则。</w:t>
            </w:r>
          </w:p>
        </w:tc>
        <w:tc>
          <w:tcPr>
            <w:tcW w:type="dxa" w:w="209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现有单据、口径确认、范围清单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02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主数据先行</w:t>
            </w:r>
          </w:p>
        </w:tc>
        <w:tc>
          <w:tcPr>
            <w:tcW w:type="dxa" w:w="476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供应商、下家、运输方、合伙人、SKU、仓库库位建档，往来单位合并去重。</w:t>
            </w:r>
          </w:p>
        </w:tc>
        <w:tc>
          <w:tcPr>
            <w:tcW w:type="dxa" w:w="209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A/C/D 档案、SKU 品类、库位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03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主线跑通</w:t>
            </w:r>
          </w:p>
        </w:tc>
        <w:tc>
          <w:tcPr>
            <w:tcW w:type="dxa" w:w="476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采购过磅入库 → 库存加工 → 销售出库 → 回款核销，先用真实单据跑一周。</w:t>
            </w:r>
          </w:p>
        </w:tc>
        <w:tc>
          <w:tcPr>
            <w:tcW w:type="dxa" w:w="209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采购单、过磅、库存、回款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04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钱的口径</w:t>
            </w:r>
          </w:p>
        </w:tc>
        <w:tc>
          <w:tcPr>
            <w:tcW w:type="dxa" w:w="476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应收应付、账龄、运费月结、发票台账，让财务愿意用、敢用。</w:t>
            </w:r>
          </w:p>
        </w:tc>
        <w:tc>
          <w:tcPr>
            <w:tcW w:type="dxa" w:w="209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账龄、运费月结、发票勾对</w:t>
            </w:r>
          </w:p>
        </w:tc>
      </w:tr>
      <w:tr>
        <w:trPr>
          <w:cantSplit w:val="true"/>
        </w:trPr>
        <w:tc>
          <w:tcPr>
            <w:tcW w:type="dxa" w:w="737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05</w:t>
            </w:r>
          </w:p>
        </w:tc>
        <w:tc>
          <w:tcPr>
            <w:tcW w:type="dxa" w:w="170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分账与投标</w:t>
            </w:r>
          </w:p>
        </w:tc>
        <w:tc>
          <w:tcPr>
            <w:tcW w:type="dxa" w:w="4762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合伙人垫付台账、分账试算与确认；招投标保证金与平台押金上线。</w:t>
            </w:r>
          </w:p>
        </w:tc>
        <w:tc>
          <w:tcPr>
            <w:tcW w:type="dxa" w:w="2098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垫付台账、分账确认、保证金核验</w:t>
            </w:r>
          </w:p>
        </w:tc>
      </w:tr>
      <w:tr>
        <w:trPr>
          <w:cantSplit w:val="true"/>
        </w:trPr>
        <w:tc>
          <w:tcPr>
            <w:tcW w:type="dxa" w:w="737"/>
            <w:shd w:val="clear" w:color="auto" w:fill="F1F7F4"/>
          </w:tcPr>
          <w:p>
            <w:pPr>
              <w:spacing w:before="20" w:after="20" w:line="288" w:lineRule="auto"/>
              <w:jc w:val="center"/>
            </w:pPr>
            <w:r>
              <w:rPr>
                <w:rFonts w:ascii="微软雅黑" w:hAnsi="微软雅黑"/>
                <w:color w:val="33413C"/>
                <w:sz w:val="17"/>
              </w:rPr>
              <w:t>06</w:t>
            </w:r>
          </w:p>
        </w:tc>
        <w:tc>
          <w:tcPr>
            <w:tcW w:type="dxa" w:w="170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留痕与权限</w:t>
            </w:r>
          </w:p>
        </w:tc>
        <w:tc>
          <w:tcPr>
            <w:tcW w:type="dxa" w:w="4762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角色 + 数据范围配置，审计日志与金额变更专项日志开启，试点验收。</w:t>
            </w:r>
          </w:p>
        </w:tc>
        <w:tc>
          <w:tcPr>
            <w:tcW w:type="dxa" w:w="2098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权限矩阵、审计日志、验收单</w:t>
            </w:r>
          </w:p>
        </w:tc>
      </w:tr>
    </w:tbl>
    <w:p>
      <w:pPr>
        <w:spacing w:after="40"/>
      </w:pPr>
    </w:p>
    <w:p>
      <w:pPr>
        <w:spacing w:before="0" w:after="120" w:line="360" w:lineRule="auto"/>
      </w:pPr>
      <w:r>
        <w:rPr>
          <w:rFonts w:ascii="微软雅黑" w:hAnsi="微软雅黑"/>
          <w:b w:val="0"/>
          <w:color w:val="5E6E68"/>
          <w:sz w:val="19"/>
        </w:rPr>
        <w:t>排期说明：主数据 + 采购过磅 + 库存 + 销售回款这条主线先跑通，再上分账与招投标。具体周期以试点范围、主数据质量与参与人员确认为准——我们不承诺「几天上线」这类数字。</w:t>
      </w:r>
    </w:p>
    <w:p>
      <w:pPr>
        <w:pStyle w:val="Heading1"/>
        <w:pageBreakBefore/>
      </w:pPr>
      <w:r>
        <w:rPr>
          <w:sz w:val="34"/>
        </w:rPr>
        <w:t>第八章　能力边界与数据安全</w:t>
      </w:r>
    </w:p>
    <w:p>
      <w:pPr>
        <w:spacing w:before="0" w:after="4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写清楚不做什么，比说得响更重要。以下是一期明确不做的事：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不给一线工人做工时计件与工资核算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不做打包压缩生产环节（本行业按剪切、分拣、拆解走）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不做复杂财务总账与税务申报，开票只做标记与台账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一期不对接地磅硬件，重量手工录入，接口预留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一期按单一回收公司设计，多主体多组织预留</w:t>
      </w:r>
    </w:p>
    <w:p>
      <w:pPr>
        <w:pStyle w:val="Heading2"/>
      </w:pPr>
      <w:r>
        <w:t>8.1　数据与部署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部署方式：支持云端与私有部署，按企业 IT 要求确认。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权限模型：角色 + 数据范围双重控制，未授权 fail-closed。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审计留痕：字段级操作日志、金额变更专项日志、登录安全日志，可检索导出。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数据更正：不做物理删除，一律作废 / 冲红，保留完整链路。</w:t>
      </w:r>
    </w:p>
    <w:p>
      <w:pPr>
        <w:pStyle w:val="ListBullet"/>
        <w:spacing w:after="60" w:line="360" w:lineRule="auto"/>
      </w:pPr>
      <w:r>
        <w:rPr>
          <w:rFonts w:ascii="微软雅黑" w:hAnsi="微软雅黑"/>
          <w:color w:val="33413C"/>
          <w:sz w:val="21"/>
        </w:rPr>
        <w:t>演示数据：本手册中的金额与算例均为演示口径，不代表任何客户真实经营数据。</w:t>
      </w:r>
    </w:p>
    <w:p>
      <w:pPr>
        <w:pStyle w:val="Heading1"/>
        <w:pageBreakBefore/>
      </w:pPr>
      <w:r>
        <w:rPr>
          <w:sz w:val="34"/>
        </w:rPr>
        <w:t>第九章　配套资料与联系</w:t>
      </w:r>
    </w:p>
    <w:p>
      <w:pPr>
        <w:spacing w:before="0" w:after="120" w:line="384" w:lineRule="auto"/>
        <w:ind w:firstLine="420"/>
      </w:pPr>
      <w:r>
        <w:rPr>
          <w:rFonts w:ascii="微软雅黑" w:hAnsi="微软雅黑"/>
          <w:b w:val="0"/>
          <w:color w:val="33413C"/>
          <w:sz w:val="21"/>
        </w:rPr>
        <w:t>官网下载中心提供三份可直接使用的资料，中文文件名、可编辑格式，可直接改成你公司的方案模板（引用时请保留产品名称与来源链接）。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324"/>
        <w:gridCol w:w="2324"/>
        <w:gridCol w:w="2324"/>
        <w:gridCol w:w="2324"/>
      </w:tblGrid>
      <w:tr>
        <w:trPr>
          <w:tblHeader w:val="true"/>
        </w:trPr>
        <w:tc>
          <w:tcPr>
            <w:tcW w:type="dxa" w:w="1587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资料</w:t>
            </w:r>
          </w:p>
        </w:tc>
        <w:tc>
          <w:tcPr>
            <w:tcW w:type="dxa" w:w="4195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文件名</w:t>
            </w:r>
          </w:p>
        </w:tc>
        <w:tc>
          <w:tcPr>
            <w:tcW w:type="dxa" w:w="1474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规格</w:t>
            </w:r>
          </w:p>
        </w:tc>
        <w:tc>
          <w:tcPr>
            <w:tcW w:type="dxa" w:w="2041"/>
            <w:shd w:val="clear" w:color="auto" w:fill="0F5D4E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7"/>
              </w:rPr>
              <w:t>适合场景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系统功能清单</w:t>
            </w:r>
          </w:p>
        </w:tc>
        <w:tc>
          <w:tcPr>
            <w:tcW w:type="dxa" w:w="419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再生资源回收行业云系统-功能清单-v1.0.xlsx</w:t>
            </w:r>
          </w:p>
        </w:tc>
        <w:tc>
          <w:tcPr>
            <w:tcW w:type="dxa" w:w="147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6 个工作表 · 107 条功能行</w:t>
            </w:r>
          </w:p>
        </w:tc>
        <w:tc>
          <w:tcPr>
            <w:tcW w:type="dxa" w:w="204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报方案、做选型对比、对齐实施范围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产品功能介绍</w:t>
            </w:r>
          </w:p>
        </w:tc>
        <w:tc>
          <w:tcPr>
            <w:tcW w:type="dxa" w:w="4195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再生资源回收行业云系统-功能介绍-v1.0.pptx</w:t>
            </w:r>
          </w:p>
        </w:tc>
        <w:tc>
          <w:tcPr>
            <w:tcW w:type="dxa" w:w="1474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15 页 · 16:9 · 可直接改</w:t>
            </w:r>
          </w:p>
        </w:tc>
        <w:tc>
          <w:tcPr>
            <w:tcW w:type="dxa" w:w="2041"/>
            <w:shd w:val="clear" w:color="auto" w:fill="F1F7F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客户拜访、内部立项汇报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b/>
                <w:color w:val="1A2421"/>
                <w:sz w:val="17"/>
              </w:rPr>
              <w:t>产品宣传手册</w:t>
            </w:r>
          </w:p>
        </w:tc>
        <w:tc>
          <w:tcPr>
            <w:tcW w:type="dxa" w:w="4195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再生资源回收行业云系统-宣传手册-v1.0.docx</w:t>
            </w:r>
          </w:p>
        </w:tc>
        <w:tc>
          <w:tcPr>
            <w:tcW w:type="dxa" w:w="1474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约 28 页 · A4 排版</w:t>
            </w:r>
          </w:p>
        </w:tc>
        <w:tc>
          <w:tcPr>
            <w:tcW w:type="dxa" w:w="2041"/>
          </w:tcPr>
          <w:p>
            <w:pPr>
              <w:spacing w:before="20" w:after="20" w:line="288" w:lineRule="auto"/>
              <w:jc w:val="left"/>
            </w:pPr>
            <w:r>
              <w:rPr>
                <w:rFonts w:ascii="微软雅黑" w:hAnsi="微软雅黑"/>
                <w:color w:val="33413C"/>
                <w:sz w:val="17"/>
              </w:rPr>
              <w:t>随方案发送、展会/拜访留档</w:t>
            </w:r>
          </w:p>
        </w:tc>
      </w:tr>
    </w:tbl>
    <w:p>
      <w:pPr>
        <w:spacing w:after="40"/>
      </w:pPr>
    </w:p>
    <w:p>
      <w:pPr>
        <w:pStyle w:val="Heading2"/>
      </w:pPr>
      <w:r>
        <w:t>9.1　联系方式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商务电话：</w:t>
      </w:r>
      <w:r>
        <w:rPr>
          <w:rFonts w:ascii="微软雅黑" w:hAnsi="微软雅黑"/>
          <w:color w:val="33413C"/>
          <w:sz w:val="20"/>
        </w:rPr>
        <w:t>180 1631 3342（微信同号）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邮箱：</w:t>
      </w:r>
      <w:r>
        <w:rPr>
          <w:rFonts w:ascii="微软雅黑" w:hAnsi="微软雅黑"/>
          <w:color w:val="33413C"/>
          <w:sz w:val="20"/>
        </w:rPr>
        <w:t>cooper@micount.cn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公司：</w:t>
      </w:r>
      <w:r>
        <w:rPr>
          <w:rFonts w:ascii="微软雅黑" w:hAnsi="微软雅黑"/>
          <w:color w:val="33413C"/>
          <w:sz w:val="20"/>
        </w:rPr>
        <w:t>上海思扬信息科技有限公司（算数科技）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联合出品：</w:t>
      </w:r>
      <w:r>
        <w:rPr>
          <w:rFonts w:ascii="微软雅黑" w:hAnsi="微软雅黑"/>
          <w:color w:val="33413C"/>
          <w:sz w:val="20"/>
        </w:rPr>
        <w:t>算数云科技（深圳）有限公司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地址：</w:t>
      </w:r>
      <w:r>
        <w:rPr>
          <w:rFonts w:ascii="微软雅黑" w:hAnsi="微软雅黑"/>
          <w:color w:val="33413C"/>
          <w:sz w:val="20"/>
        </w:rPr>
        <w:t>上海市静安区汶水路 480 号（鑫森园区）103 号</w:t>
      </w:r>
    </w:p>
    <w:p>
      <w:pPr>
        <w:spacing w:after="60" w:line="360" w:lineRule="auto"/>
      </w:pPr>
      <w:r>
        <w:rPr>
          <w:rFonts w:ascii="微软雅黑" w:hAnsi="微软雅黑"/>
          <w:b/>
          <w:color w:val="0F5D4E"/>
          <w:sz w:val="20"/>
        </w:rPr>
        <w:t>官网：</w:t>
      </w:r>
      <w:r>
        <w:rPr>
          <w:rFonts w:ascii="微软雅黑" w:hAnsi="微软雅黑"/>
          <w:color w:val="33413C"/>
          <w:sz w:val="20"/>
        </w:rPr>
        <w:t>https://p.zerocod.cn/huishou5/public/site/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0F5D4E"/>
          <w:sz w:val="20"/>
        </w:rPr>
        <w:t>建议的第一次沟通：带上你真实的采购单、磅单、运费单与分账口径，我们在系统里用你的一车货跑一遍，20 分钟看完主链。</w:t>
      </w:r>
    </w:p>
    <w:p>
      <w:pPr>
        <w:spacing w:before="0" w:after="120" w:line="384" w:lineRule="auto"/>
      </w:pPr>
      <w:r>
        <w:rPr>
          <w:rFonts w:ascii="微软雅黑" w:hAnsi="微软雅黑"/>
          <w:b w:val="0"/>
          <w:color w:val="33413C"/>
          <w:sz w:val="21"/>
        </w:rPr>
      </w:r>
    </w:p>
    <w:p>
      <w:pPr>
        <w:spacing w:before="0" w:after="120" w:line="336" w:lineRule="auto"/>
      </w:pPr>
      <w:r>
        <w:rPr>
          <w:rFonts w:ascii="微软雅黑" w:hAnsi="微软雅黑"/>
          <w:b w:val="0"/>
          <w:color w:val="5E6E68"/>
          <w:sz w:val="17"/>
        </w:rPr>
        <w:t>引用与标注：再生资源回收行业云系统 · 算数科技 · 上海思扬信息科技有限公司 · https://p.zerocod.cn/huishou5/public/site/　|　© 2026 上海思扬信息科技有限公司　保留所有权利。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304" w:bottom="1247" w:left="130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/>
        <w:color w:val="5E6E68"/>
        <w:sz w:val="17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sz w:val="18"/>
      </w:rPr>
      <w:t>1</w:t>
    </w:r>
    <w:r>
      <w:fldChar w:fldCharType="end"/>
    </w:r>
    <w:r>
      <w:rPr>
        <w:rFonts w:ascii="微软雅黑" w:hAnsi="微软雅黑"/>
        <w:color w:val="5E6E68"/>
        <w:sz w:val="17"/>
      </w:rPr>
      <w:t xml:space="preserve"> 页　/　共 </w:t>
    </w:r>
    <w:r>
      <w:fldChar w:fldCharType="begin"/>
    </w:r>
    <w:r>
      <w:instrText xml:space="preserve"> NUMPAGES </w:instrText>
    </w:r>
    <w:r>
      <w:fldChar w:fldCharType="separate"/>
    </w:r>
    <w:r>
      <w:rPr>
        <w:sz w:val="18"/>
      </w:rPr>
      <w:t>20</w:t>
    </w:r>
    <w:r>
      <w:fldChar w:fldCharType="end"/>
    </w:r>
    <w:r>
      <w:rPr>
        <w:rFonts w:ascii="微软雅黑" w:hAnsi="微软雅黑"/>
        <w:color w:val="5E6E68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298" w:val="right"/>
      </w:tabs>
      <w:jc w:val="left"/>
    </w:pPr>
    <w:r>
      <w:rPr>
        <w:rFonts w:ascii="微软雅黑" w:hAnsi="微软雅黑"/>
        <w:color w:val="5E6E68"/>
        <w:sz w:val="17"/>
      </w:rPr>
      <w:t>再生资源回收行业云系统　·　产品宣传手册</w:t>
    </w:r>
    <w:r>
      <w:rPr>
        <w:sz w:val="17"/>
      </w:rPr>
      <w:tab/>
    </w:r>
    <w:r>
      <w:rPr>
        <w:rFonts w:ascii="微软雅黑" w:hAnsi="微软雅黑"/>
        <w:color w:val="5E6E68"/>
        <w:sz w:val="17"/>
      </w:rPr>
      <w:t>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微软雅黑" w:hAnsi="微软雅黑" w:eastAsia="微软雅黑" w:cs="微软雅黑"/>
      <w:color w:val="3341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00" w:line="312" w:lineRule="auto"/>
      <w:outlineLvl w:val="0"/>
    </w:pPr>
    <w:rPr>
      <w:rFonts w:asciiTheme="majorHAnsi" w:eastAsiaTheme="majorEastAsia" w:hAnsiTheme="majorHAnsi" w:cstheme="majorBidi" w:ascii="微软雅黑" w:hAnsi="微软雅黑" w:eastAsia="微软雅黑" w:cs="微软雅黑"/>
      <w:b/>
      <w:bCs/>
      <w:color w:val="0F5D4E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312" w:lineRule="auto"/>
      <w:outlineLvl w:val="1"/>
    </w:pPr>
    <w:rPr>
      <w:rFonts w:asciiTheme="majorHAnsi" w:eastAsiaTheme="majorEastAsia" w:hAnsiTheme="majorHAnsi" w:cstheme="majorBidi" w:ascii="微软雅黑" w:hAnsi="微软雅黑" w:eastAsia="微软雅黑" w:cs="微软雅黑"/>
      <w:b/>
      <w:bCs/>
      <w:color w:val="1271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312" w:lineRule="auto"/>
      <w:outlineLvl w:val="2"/>
    </w:pPr>
    <w:rPr>
      <w:rFonts w:asciiTheme="majorHAnsi" w:eastAsiaTheme="majorEastAsia" w:hAnsiTheme="majorHAnsi" w:cstheme="majorBidi" w:ascii="微软雅黑" w:hAnsi="微软雅黑" w:eastAsia="微软雅黑" w:cs="微软雅黑"/>
      <w:b/>
      <w:bCs/>
      <w:color w:val="1A242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再生资源回收行业云系统 产品宣传手册 v1.0</dc:title>
  <dc:subject>废钢、有色金属、废电缆、工业垃圾等再生资源 B2B 回收（只做企业客户）</dc:subject>
  <dc:creator>上海思扬信息科技有限公司</dc:creator>
  <cp:keywords>再生资源回收,废钢回收,废电缆,回收ERP,合伙人分账</cp:keywords>
  <dc:description>14 个业务域 · 107 个页面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