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left"/>
      </w:pPr>
      <w:r>
        <w:rPr>
          <w:rFonts w:ascii="微软雅黑" w:hAnsi="微软雅黑" w:eastAsia="微软雅黑"/>
          <w:b/>
          <w:color w:val="B8892B"/>
          <w:sz w:val="26"/>
        </w:rPr>
        <w:t>聚研检测</w:t>
      </w:r>
    </w:p>
    <w:p>
      <w:pPr>
        <w:spacing w:before="200"/>
      </w:pPr>
      <w:r>
        <w:rPr>
          <w:rFonts w:ascii="微软雅黑" w:hAnsi="微软雅黑" w:eastAsia="微软雅黑"/>
          <w:b/>
          <w:color w:val="0D3B33"/>
          <w:sz w:val="76"/>
        </w:rPr>
        <w:t>接单到收钱，一本账</w:t>
      </w:r>
    </w:p>
    <w:p>
      <w:pPr>
        <w:spacing w:after="400"/>
      </w:pPr>
      <w:r>
        <w:rPr>
          <w:rFonts w:ascii="微软雅黑" w:hAnsi="微软雅黑" w:eastAsia="微软雅黑"/>
          <w:color w:val="11554A"/>
          <w:sz w:val="30"/>
        </w:rPr>
        <w:t>检测机构的业务、实验室、质量与经营一体化系统</w:t>
      </w:r>
    </w:p>
    <w:p>
      <w:pPr>
        <w:spacing w:after="520"/>
      </w:pPr>
      <w:r>
        <w:rPr>
          <w:rFonts w:ascii="宋体" w:hAnsi="宋体" w:eastAsia="宋体"/>
          <w:color w:val="63776F"/>
          <w:sz w:val="20"/>
        </w:rPr>
        <w:t>产 品 白 皮 书 · 2026 年 10 月 · v1.0</w:t>
      </w:r>
    </w:p>
    <w:p>
      <w:pPr>
        <w:spacing w:before="160" w:after="200" w:line="384" w:lineRule="auto"/>
        <w:ind w:left="340"/>
        <w:pBdr>
          <w:left w:val="single" w:sz="18" w:space="8" w:color="B8892B"/>
        </w:pBdr>
      </w:pPr>
      <w:r>
        <w:rPr>
          <w:rFonts w:ascii="宋体" w:hAnsi="宋体" w:eastAsia="宋体"/>
          <w:i w:val="0"/>
          <w:color w:val="5D4A1C"/>
          <w:sz w:val="21"/>
        </w:rPr>
        <w:t>检测机构最贵的不是试剂，是「说不清」：说不清这单赚没赚、说不清样本在哪、说不清报告是不是最终版。这本手册讲的就是怎么把这三件事，变成系统里能查到的字段。</w:t>
      </w:r>
    </w:p>
    <w:p/>
    <w:p/>
    <w:p/>
    <w:p/>
    <w:p/>
    <w:p/>
    <w:p>
      <w:pPr>
        <w:spacing w:after="60"/>
      </w:pPr>
      <w:r>
        <w:rPr>
          <w:rFonts w:ascii="微软雅黑" w:hAnsi="微软雅黑" w:eastAsia="微软雅黑"/>
          <w:b/>
          <w:color w:val="0D3B33"/>
          <w:sz w:val="19"/>
        </w:rPr>
        <w:t>研发单位：</w:t>
      </w:r>
      <w:r>
        <w:rPr>
          <w:rFonts w:ascii="宋体" w:hAnsi="宋体" w:eastAsia="宋体"/>
          <w:color w:val="63776F"/>
          <w:sz w:val="19"/>
        </w:rPr>
        <w:t>合肥聚研生物科技有限公司</w:t>
      </w:r>
    </w:p>
    <w:p>
      <w:pPr>
        <w:spacing w:after="60"/>
      </w:pPr>
      <w:r>
        <w:rPr>
          <w:rFonts w:ascii="微软雅黑" w:hAnsi="微软雅黑" w:eastAsia="微软雅黑"/>
          <w:b/>
          <w:color w:val="0D3B33"/>
          <w:sz w:val="19"/>
        </w:rPr>
        <w:t>实施与支持：</w:t>
      </w:r>
      <w:r>
        <w:rPr>
          <w:rFonts w:ascii="宋体" w:hAnsi="宋体" w:eastAsia="宋体"/>
          <w:color w:val="63776F"/>
          <w:sz w:val="19"/>
        </w:rPr>
        <w:t>算数科技</w:t>
      </w:r>
    </w:p>
    <w:p>
      <w:pPr>
        <w:spacing w:after="60"/>
      </w:pPr>
      <w:r>
        <w:rPr>
          <w:rFonts w:ascii="微软雅黑" w:hAnsi="微软雅黑" w:eastAsia="微软雅黑"/>
          <w:b/>
          <w:color w:val="0D3B33"/>
          <w:sz w:val="19"/>
        </w:rPr>
        <w:t>演示环境：</w:t>
      </w:r>
      <w:r>
        <w:rPr>
          <w:rFonts w:ascii="宋体" w:hAnsi="宋体" w:eastAsia="宋体"/>
          <w:color w:val="63776F"/>
          <w:sz w:val="19"/>
        </w:rPr>
        <w:t>https://p.zerocod.cn/fuwu-jiance/</w:t>
      </w:r>
    </w:p>
    <w:p>
      <w:pPr>
        <w:spacing w:after="60"/>
      </w:pPr>
      <w:r>
        <w:rPr>
          <w:rFonts w:ascii="微软雅黑" w:hAnsi="微软雅黑" w:eastAsia="微软雅黑"/>
          <w:b/>
          <w:color w:val="0D3B33"/>
          <w:sz w:val="19"/>
        </w:rPr>
        <w:t>官方站点：</w:t>
      </w:r>
      <w:r>
        <w:rPr>
          <w:rFonts w:ascii="宋体" w:hAnsi="宋体" w:eastAsia="宋体"/>
          <w:color w:val="63776F"/>
          <w:sz w:val="19"/>
        </w:rPr>
        <w:t>https://p.zerocod.cn/jiance/</w:t>
      </w:r>
    </w:p>
    <w:p>
      <w:pPr>
        <w:spacing w:after="60"/>
      </w:pPr>
      <w:r>
        <w:rPr>
          <w:rFonts w:ascii="微软雅黑" w:hAnsi="微软雅黑" w:eastAsia="微软雅黑"/>
          <w:b/>
          <w:color w:val="0D3B33"/>
          <w:sz w:val="19"/>
        </w:rPr>
        <w:t>商务联系：</w:t>
      </w:r>
      <w:r>
        <w:rPr>
          <w:rFonts w:ascii="宋体" w:hAnsi="宋体" w:eastAsia="宋体"/>
          <w:color w:val="63776F"/>
          <w:sz w:val="19"/>
        </w:rPr>
        <w:t>王先生 18016313342（微信同号） · cooper@micount.cn</w:t>
      </w:r>
    </w:p>
    <w:p>
      <w:r>
        <w:br w:type="page"/>
      </w:r>
    </w:p>
    <w:p>
      <w:pPr>
        <w:keepNext/>
        <w:spacing w:before="360" w:after="200"/>
      </w:pPr>
      <w:r>
        <w:rPr>
          <w:rFonts w:ascii="微软雅黑" w:hAnsi="微软雅黑" w:eastAsia="微软雅黑"/>
          <w:b/>
          <w:color w:val="0D3B33"/>
          <w:sz w:val="40"/>
        </w:rPr>
        <w:t>目 录</w:t>
      </w:r>
    </w:p>
    <w:p>
      <w:pPr>
        <w:spacing w:before="0" w:after="240"/>
        <w:pBdr>
          <w:bottom w:val="single" w:sz="12" w:color="B8892B"/>
        </w:pBdr>
      </w:pP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0D3B33"/>
          <w:sz w:val="22"/>
        </w:rPr>
        <w:t>摘要：三个问题，一个答案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0D3B33"/>
          <w:sz w:val="22"/>
        </w:rPr>
        <w:t>第一章  为什么换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1.1  检测机构的四本账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1.2  三个可以量化的损失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1.3  什么才算「跑通了」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0D3B33"/>
          <w:sz w:val="22"/>
        </w:rPr>
        <w:t>第二章  系统怎么跑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2.1  客户与课题组：一切从这里开始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2.2  报价：先算清这单赚不赚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2.3  合同与订单：条款带进单子，复核不到不许开工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2.4  收样与样本谱系：签收这一刻责任就转移了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2.5  实验、质控与设备：两道前置事实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2.6  报告：签发即出核验码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2.7  客户门户：让甲方自己查到答案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2.8  回款与核算：把利润算出来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0D3B33"/>
          <w:sz w:val="22"/>
        </w:rPr>
        <w:t>第三章  怎么算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3.1  计价引擎与七种口径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3.2  单票成本的五个分项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3.3  毛利红线：拦人的，不只是变颜色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3.4  经营月报的六块内容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3.5  应收、账龄与回款天数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3.6  指标口径对照表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0D3B33"/>
          <w:sz w:val="22"/>
        </w:rPr>
        <w:t>第四章  怎么落地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4.1  四周跑通最小闭环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4.2  版本、部署与配置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4.3  权限、审计与数据归属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4.4  历史数据怎么迁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4.5  上线验收：八条可勾选</w:t>
      </w:r>
    </w:p>
    <w:p>
      <w:pPr>
        <w:spacing w:after="80" w:line="360" w:lineRule="auto"/>
        <w:ind w:left="454"/>
      </w:pPr>
      <w:r>
        <w:rPr>
          <w:rFonts w:ascii="宋体" w:hAnsi="宋体" w:eastAsia="宋体"/>
          <w:color w:val="1D3A31"/>
          <w:sz w:val="20"/>
        </w:rPr>
        <w:t>4.6  上线前后最常被问的十个问题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color w:val="0D3B33"/>
          <w:sz w:val="22"/>
        </w:rPr>
        <w:t>附录  术语表</w:t>
      </w:r>
    </w:p>
    <w:p>
      <w:r>
        <w:br w:type="page"/>
      </w:r>
    </w:p>
    <w:p>
      <w:pPr>
        <w:keepNext/>
        <w:spacing w:before="360" w:after="200"/>
      </w:pPr>
      <w:r>
        <w:rPr>
          <w:rFonts w:ascii="微软雅黑" w:hAnsi="微软雅黑" w:eastAsia="微软雅黑"/>
          <w:b/>
          <w:color w:val="0D3B33"/>
          <w:sz w:val="40"/>
        </w:rPr>
        <w:t>摘要：三个问题，一个答案</w:t>
      </w:r>
    </w:p>
    <w:p>
      <w:pPr>
        <w:spacing w:before="0" w:after="240"/>
        <w:pBdr>
          <w:bottom w:val="single" w:sz="12" w:color="B8892B"/>
        </w:pBdr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如果只能记住一句话，请记住这句：聚研检测把「一张单子」当成系统里唯一的对象——从报价那一刻起，编号、金额、责任人就挂在同一条链上，样本、任务、报告、应收都是这条链上的节点，不是各自为政的另一张表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大多数检测机构并不缺系统。样本有 LIMS，财务有 ERP 或 Excel，客户沟通靠微信，报告靠 Word 模板。问题不在没有工具，而在于这些工具各自记了一套账：LIMS 里不知道这单多少钱，ERP 里不知道样本做到哪一步，微信里说不清最终发出去的是哪一版报告。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于是每个月都会出现同样的三个问题：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这一单到底赚没赚？——报价时靠估，做完不核对，年底才发现某条业务线一直在亏。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样本现在在哪？——登记本上有一行，冰箱里找不到，补做的时候连母样本都对不上。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报告是不是最终版？——客户质疑时，翻聊天记录找文件，谁签的、改没改，说不清。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三个问题的共同点是：它们都不是「管理不严」，而是「没有字段可答」。聚研检测做的事情，就是给这三个问题各自补上字段，并且让这些字段在同一个数据库里对得上。具体来说：报价阶段算成本，交付阶段记工时与领用，签发阶段做内容哈希，收款阶段冲应收——四步落在同一张单上，毛利就不再是月底的回忆，而是随时可查的数。</w:t>
      </w:r>
    </w:p>
    <w:p>
      <w:pPr>
        <w:spacing w:before="160" w:after="200" w:line="384" w:lineRule="auto"/>
        <w:ind w:left="340"/>
        <w:pBdr>
          <w:left w:val="single" w:sz="18" w:space="8" w:color="B8892B"/>
        </w:pBdr>
      </w:pPr>
      <w:r>
        <w:rPr>
          <w:rFonts w:ascii="宋体" w:hAnsi="宋体" w:eastAsia="宋体"/>
          <w:i w:val="0"/>
          <w:color w:val="5D4A1C"/>
          <w:sz w:val="21"/>
        </w:rPr>
        <w:t>我们不做「什么都能干」的万能系统，只做检测机构这一条链；不靠提示音和红字做合规，靠服务层拦截；不承诺 AI 替人下结论，只承诺把数据算准、把过程留全。</w:t>
      </w:r>
    </w:p>
    <w:p>
      <w:pPr>
        <w:keepNext/>
        <w:spacing w:before="360" w:after="200"/>
      </w:pPr>
      <w:r>
        <w:rPr>
          <w:rFonts w:ascii="微软雅黑" w:hAnsi="微软雅黑" w:eastAsia="微软雅黑"/>
          <w:b/>
          <w:color w:val="B8892B"/>
          <w:sz w:val="40"/>
        </w:rPr>
        <w:t xml:space="preserve">第一章  </w:t>
      </w:r>
      <w:r>
        <w:rPr>
          <w:rFonts w:ascii="微软雅黑" w:hAnsi="微软雅黑" w:eastAsia="微软雅黑"/>
          <w:b/>
          <w:color w:val="0D3B33"/>
          <w:sz w:val="40"/>
        </w:rPr>
        <w:t>为什么换</w:t>
      </w:r>
    </w:p>
    <w:p>
      <w:pPr>
        <w:spacing w:before="0" w:after="240"/>
        <w:pBdr>
          <w:bottom w:val="single" w:sz="12" w:color="B8892B"/>
        </w:pBdr>
      </w:pP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1.1  检测机构的四本账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走进任何一家 50 人规模的检测机构，你大概会看到四本账同时在跑：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1814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这本账</w:t>
            </w:r>
          </w:p>
        </w:tc>
        <w:tc>
          <w:tcPr>
            <w:tcW w:type="dxa" w:w="2381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载体</w:t>
            </w:r>
          </w:p>
        </w:tc>
        <w:tc>
          <w:tcPr>
            <w:tcW w:type="dxa" w:w="2494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谁在维护</w:t>
            </w:r>
          </w:p>
        </w:tc>
        <w:tc>
          <w:tcPr>
            <w:tcW w:type="dxa" w:w="2835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月末状态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报价账</w:t>
            </w:r>
          </w:p>
        </w:tc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Excel 或聊天记录</w:t>
            </w:r>
          </w:p>
        </w:tc>
        <w:tc>
          <w:tcPr>
            <w:tcW w:type="dxa" w:w="249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销售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折扣口径不一，成本靠估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样本账</w:t>
            </w:r>
          </w:p>
        </w:tc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纸质登记本 + LIMS</w:t>
            </w:r>
          </w:p>
        </w:tc>
        <w:tc>
          <w:tcPr>
            <w:tcW w:type="dxa" w:w="249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实验室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位置与谱系靠问人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报告账</w:t>
            </w:r>
          </w:p>
        </w:tc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Word 模板 + 微信</w:t>
            </w:r>
          </w:p>
        </w:tc>
        <w:tc>
          <w:tcPr>
            <w:tcW w:type="dxa" w:w="249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报告编制 / 授权签字人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版本多，最终版说不清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财务账</w:t>
            </w:r>
          </w:p>
        </w:tc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ERP 或 Excel</w:t>
            </w:r>
          </w:p>
        </w:tc>
        <w:tc>
          <w:tcPr>
            <w:tcW w:type="dxa" w:w="249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财务</w:t>
            </w:r>
          </w:p>
        </w:tc>
        <w:tc>
          <w:tcPr>
            <w:tcW w:type="dxa" w:w="28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收入与成本口径对不上</w:t>
            </w:r>
          </w:p>
        </w:tc>
      </w:tr>
    </w:tbl>
    <w:p>
      <w:pPr>
        <w:spacing w:after="160"/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四本账本身没有错，错在它们之间没有共享同一个对象。同一张单在报价账里叫「报价单号」，在样本账里叫「委托编号」，在财务账里叫「合同号」——三个编号，三套口径，中间靠人脑翻译。翻译一次错一次，错得多了，就变成「反正月底对不上，按经验估一个」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1.2  三个可以量化的损失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这四本账带来的损失，通常不会被记在任何一张报表上，所以也从来没人算过。但如果按一年来估，大致是这三笔：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701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损失</w:t>
            </w:r>
          </w:p>
        </w:tc>
        <w:tc>
          <w:tcPr>
            <w:tcW w:type="dxa" w:w="4309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怎么发生</w:t>
            </w:r>
          </w:p>
        </w:tc>
        <w:tc>
          <w:tcPr>
            <w:tcW w:type="dxa" w:w="3515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一年大概多少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低价单</w:t>
            </w:r>
          </w:p>
        </w:tc>
        <w:tc>
          <w:tcPr>
            <w:tcW w:type="dxa" w:w="430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报价缺成本基准，为拿单一路打折，做完才发现亏</w:t>
            </w:r>
          </w:p>
        </w:tc>
        <w:tc>
          <w:tcPr>
            <w:tcW w:type="dxa" w:w="351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毛利被侵蚀 3–8 个百分点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样品重做</w:t>
            </w:r>
          </w:p>
        </w:tc>
        <w:tc>
          <w:tcPr>
            <w:tcW w:type="dxa" w:w="430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样本找不到、冻融超标、谱系断裂导致补做</w:t>
            </w:r>
          </w:p>
        </w:tc>
        <w:tc>
          <w:tcPr>
            <w:tcW w:type="dxa" w:w="351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重做成本 + 客户信任折损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月底对账</w:t>
            </w:r>
          </w:p>
        </w:tc>
        <w:tc>
          <w:tcPr>
            <w:tcW w:type="dxa" w:w="430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三个人对两天，还要对两遍口径</w:t>
            </w:r>
          </w:p>
        </w:tc>
        <w:tc>
          <w:tcPr>
            <w:tcW w:type="dxa" w:w="351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约 60 人时 / 月</w:t>
            </w:r>
          </w:p>
        </w:tc>
      </w:tr>
    </w:tbl>
    <w:p>
      <w:pPr>
        <w:spacing w:after="160"/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把这三笔加起来，一家年单量一万单左右、客单价几百到几千元的机构，隐性损失通常在营收的 2%–5%。这个比例听起来不大，但它是纯利润——检测行业的净利率本来就只有个位数。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1.3  什么才算「跑通了」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我们不建议用「功能上线了几个」来判断项目成败，而建议用五个可验证的结果：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任何一个订单，业务能在 30 秒内说出这单预估毛利与实际毛利的差距。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任何一份样本，实验员能在两步之内查到它的母样本、所在储位和冻融次数。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任何一份报告，质量负责人能导出它的复核人、签发人与内容哈希。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任何一个月的收入、成本、毛利，财务与业务看到的是同一组数字。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任何一个客户来电问进度，业务不用挂电话去问实验室。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这五条都能做到，系统就算跑通了；做不到，功能再多也只是又一个「录入负担」。</w:t>
      </w:r>
    </w:p>
    <w:p>
      <w:r>
        <w:br w:type="page"/>
      </w:r>
    </w:p>
    <w:p>
      <w:pPr>
        <w:keepNext/>
        <w:spacing w:before="360" w:after="200"/>
      </w:pPr>
      <w:r>
        <w:rPr>
          <w:rFonts w:ascii="微软雅黑" w:hAnsi="微软雅黑" w:eastAsia="微软雅黑"/>
          <w:b/>
          <w:color w:val="B8892B"/>
          <w:sz w:val="40"/>
        </w:rPr>
        <w:t xml:space="preserve">第二章  </w:t>
      </w:r>
      <w:r>
        <w:rPr>
          <w:rFonts w:ascii="微软雅黑" w:hAnsi="微软雅黑" w:eastAsia="微软雅黑"/>
          <w:b/>
          <w:color w:val="0D3B33"/>
          <w:sz w:val="40"/>
        </w:rPr>
        <w:t>系统怎么跑</w:t>
      </w:r>
    </w:p>
    <w:p>
      <w:pPr>
        <w:spacing w:before="0" w:after="240"/>
        <w:pBdr>
          <w:bottom w:val="single" w:sz="12" w:color="B8892B"/>
        </w:pBdr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这一章按业务顺序走一遍：从客户建档，到报价、合同、订单、收样、实验、报告、回款。每个节点讲三件事——这里要解决什么、系统提供什么字段、在什么条件下会拦人。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2.1  客户与课题组：一切从这里开始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客户档案看起来是最不性感的一块，但它决定了后面所有单据的质量。聚研检测的客户档案里，除了名称与联系方式，还强制维护四类信息：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开票信息：抬头、税号、开户行、地址电话。开票时直接带出，不用财务再问一遍。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结算方式：预付、月结、按项目结算，决定应收的到期日怎么算。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区域渠道：华东、华南、华北、华中、西南、西北、东北、海外八个大区。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课题组：同一单位下可挂多个课题组，分别结算、分别出对账单。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区域字段值得单独说一句。很多机构的客户档案里这个字段是空的，或者填得随心所欲。系统在这里做了一个刻意的设计：区域为空不会被「并进某个大区」，而是单列成「未填区域」，并在经营月报里标红。原因很简单——区域分布失真比少一行数据更难发现，错着看半年，渠道投入的决策就全歪了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2.2  报价：先算清这单赚不赚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报价是整条链上最容易被低估的一环。多数机构的报价逻辑是「看同行、看客户、看心情」，而系统要做的，是在销售点「发送」之前，先告诉他这一单大概赚多少。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七种计价口径，收敛到一个引擎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检测业务的定价方式比想象中复杂：单项目有单价，组合有套餐价，批量有阶梯价，特殊基质要加价，加急要附加，老客户有协议价，复杂项目只能面议。如果每种口径各写一套计算，迟早会出现「同一单在不同页面算出不同金额」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所以系统把所有口径收进一个计价引擎，页面只负责收集参数。引擎输出的是整数分，不出现浮点误差；订单、报告、应收三处引用的是同一次计算的结果，不重复算。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成本预估：基准从历史来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预估的逻辑是「用做过的事估没做的事」：已经做过、且成本已归集的项目，把人工、耗材、设备、外协、其他五项直接费用加起来除以样本数，得到每样本成本；一个订单有多行时，按各行样本数占比分摊。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外协必须算进去。组学类项目的测序外协常常占到收入的一半以上，漏掉它就会得出 99% 的虚高毛利，销售就敢一路打折。反过来，如果某个项目从来没做过、连业务线都没有历史，这一行会被判定为「缺基准」、成本记 0，并且整单毛利率不下结论——因为少估成本比不估更危险，它会让人误以为还有让价空间。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毛利红线：25% 黄灯，15% 红灯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两个阈值都可以在配置里改。黄灯只是提示，红灯则会改变流程：毛利率低于 15% 时，点「发送客户」不会直接发出，而是自动发起报价毛利审批，由销售经理到总经理逐节点签批，通过后才置为已发送，驳回则退回草稿。如果折扣低于免审线、毛利又触底，两张条件同时触发时只会发一张审批单——同一批审批人收到两张单，只会互相等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2.3  合同与订单：条款带进单子，复核不到不许开工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合同在系统里不是附件柜，而是订单金额与结算方式的来源。合同起草用条款模板，包含付款节点、违约条款与附则；合同状态走「草稿 → 待盖章 → 生效 → 归档」，未生效的合同不能开订单。如果合同金额与报价金额不一致，必须填写差异原因，原因会留在合同详情里，供后续复盘。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订单是真正承重的对象。状态走「草稿 → 待复核 → 已确认 → 交付中 → 已完成」，金额达到 5 万元（可配）强制复核；绕过复核直接把状态改成「已确认」，会被服务层拒绝——不是界面报错，是接口层面走不通。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订单一经确认就会拆成项目，项目再按工序拆成任务。拆分时有一条硬约束：各项目金额之和必须等于订单金额。这条约束看起来琐碎，却能挡住绝大多数「金额对不上」的糊涂账。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交期：不靠人记，靠倒排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交期雷达按计划交付日倒排，把「还有几天」变成「今天该催谁」。计划交付日前 3 天算「紧急」，7 天算「关注」，逾期单列。每张单都有一份阻塞清单，写清到底卡在哪：缺样本、缺试剂、等外协、待签发。点一下「催办」，阻塞项就变成责任人的站内待办，附订单号与阻塞原因，催办记录留痕。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与之配套的是服务时效承诺，三条时限写在配置里，超时进看板：寄样申请收到后 24 小时内确认；客户异议 24 小时内首次回复；报告在计划交付日后 3 天内签发。这三条不是口号，它们各自对应一个可以筛出来的超时列表。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2.4  收样与样本谱系：签收这一刻责任就转移了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样本签收是责任转移的时点：在此之前，样本在客户手里；在此之后，任何问题都要机构自己承担。所以签收环节必须记录四件事：谁收的、几点收的、外观是否异常、放在哪一格。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条码打印与扫码签收，支持批量收样；异常样本（量不足、溶血、温度超标）走让步接收审批。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储位精确到「冰箱 - 层 - 盒 - 格」，每次取放都记人、记时间、记去向。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冻融次数按出入库累计，超过设定次数会在取用时提示。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人源样本必须挂伦理批件，没有批件只能预接收，不能入库、不能出报告。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谱系是病理类业务的核心。石蜡块取下来做成白片，白片再切成切片，这个派生关系在系统里用父子结构表达：任何一张切片，两跳之内就能回到它的蜡块与原始送检单。留样默认保留 180 天（按样本类型可覆盖），到期前 30 天进入「即将到期」，7 天内进入「临近到期」，销毁必须走审批，销毁记录不可删除。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2.5  实验、质控与设备：两道前置事实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很多系统把质控和设备当成「另外两个模块」，用起来像两个孤岛。在聚研检测里，它们是签发报告的前置事实：质控不过、设备过期，报告就不该签。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派单与工时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任务由工序自动生成，派单时可以指定人与设备。两条校验：人员资质过期不能承担对应工序，设备校准过期不能排任务、也记不了机时。工时按实际填报，没填则退回工序的标准工时并标记为「估算」——估算工时不会伪装成真实数据，在成本页会单独标注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原始记录的时间不可改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原始记录的落库时间取服务器时间，客户端改系统时间不作数。补录必须填原因，并在审计追踪里单独标记。这不是为了防员工，而是为了在客户质疑、监管抽查时，拿得出一份「没有事后加工」的证据。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室内质控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按项目维护质控品与靶值，录入即绘制 Levey-Jennings 曲线。1-3s 越限、2-2s 连续同侧会判定失控，自动生成质量事件并关联到具体批次与设备。失控记录不是「知道了就行」，它会在报告签发前被再次检查。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设备与环境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设备台账维护原值、残值、寿命与月标准机时，用于计算折旧费率；校准到期前 30 天预警、7 天紧急。环境监控按监测点记录温湿度与压差，缺记录会进「实验室就绪」检查项——这张检查表回答的是一个很实际的问题：今天能不能开工。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2.6  报告：签发即出核验码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报告是检测机构的最终产品，也是唯一会被客户长期保存的东西。系统在报告上的设计有三条原则：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模板版本化：报告生成时快照字段值与模板版本，改模板不影响已签发报告。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双人签发：编制、复核、签发分设权限，同一人不能兼任复核与签发；缺质控数据不能签发。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签名绑内容：电子签名对报告内容做哈希，任何字段变动都会让签名失效并留下原因。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签发的同时生成核验码。客户或监管拿到报告后，在公开的验真页填「报告编号 + 核验码」，系统返回三项结论：报告基本信息、内容是否与签发时一致、报告是否已作废。这一页不需要登录、不需要安装任何东西，也不暴露委托单位的其他信息——它只回答一个问题：这份报告是不是你出的、有没有被改过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2.7  客户门户：让甲方自己查到答案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「我的样本到了吗」「报告什么时候出」「上次那批能不能加做」——这些电话占掉业务与实验岗大量时间。门户把答案直接摊开，而且刻意不翻译系统状态：客户看到的是「收样 / 检测中 / 报告 / 验收」四段，不是「待复核」「已派单」这类内部术语。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门户里还有两件容易被忽略的事。第一是寄样申请：客户在线提交，系统生成寄样单号，到样扫码即确认，寄样申请与签收记录一一对应。第二是在线验收与异议：有未关闭异议的订单，门户的验收动作在服务层直接被拒绝——不允许带着问题签收。异议只能由内部回复结案，或者由客户主动撤回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权限上，客户账号被中间件关在门户内部，所有查询强制按客户编号收窄。访问一个越权的编号，与访问一个不存在的编号，系统返回完全一样的 404，不泄露「这个编号存在」这一信息。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2.8  回款与核算：把利润算出来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报告签发不等于收钱。系统在交付完成后进入应收管理：按到期日分五个账龄桶，逾期单列；每笔收款登记必须冲抵到具体订单，不做「一笔糊涂收款」；客户对账单按期间导出，含订单明细、已收、未收与账龄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与此同时，项目成本已经在业务动作里顺手归集完成：工时来自任务填报，耗材来自领用登记，机时来自设备登记，外协来自核销。到了月底，把这些数按订单汇总，就是单票毛利；按业务线汇总，就是业务线毛利；按客户汇总，就是客户贡献。全部同源，不需要再做一次「成本分摊表」。</w:t>
      </w:r>
    </w:p>
    <w:p>
      <w:r>
        <w:br w:type="page"/>
      </w:r>
    </w:p>
    <w:p>
      <w:pPr>
        <w:keepNext/>
        <w:spacing w:before="360" w:after="200"/>
      </w:pPr>
      <w:r>
        <w:rPr>
          <w:rFonts w:ascii="微软雅黑" w:hAnsi="微软雅黑" w:eastAsia="微软雅黑"/>
          <w:b/>
          <w:color w:val="B8892B"/>
          <w:sz w:val="40"/>
        </w:rPr>
        <w:t xml:space="preserve">第三章  </w:t>
      </w:r>
      <w:r>
        <w:rPr>
          <w:rFonts w:ascii="微软雅黑" w:hAnsi="微软雅黑" w:eastAsia="微软雅黑"/>
          <w:b/>
          <w:color w:val="0D3B33"/>
          <w:sz w:val="40"/>
        </w:rPr>
        <w:t>怎么算</w:t>
      </w:r>
    </w:p>
    <w:p>
      <w:pPr>
        <w:spacing w:before="0" w:after="240"/>
        <w:pBdr>
          <w:bottom w:val="single" w:sz="12" w:color="B8892B"/>
        </w:pBdr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这一章讲金额。数字是最容易「看起来对」的东西，所以这里把每个口径都写清楚，包括它是怎么算的、什么时候不成立、以及为什么这样设计。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3.1  计价引擎与七种口径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七种口径分别是：按项目单价、按套餐、阶梯价、按样本类型加价、加急附加、协议价、面议。它们的优先级是：协议价 &gt; 套餐 &gt; 项目单价 &gt; 阶梯价，加急与类型系数在最终金额上叠加。面议行的金额为 0，单独计数，不参与毛利判断——还没报价就没有毛利可算。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所有金额以整数分存储与计算，避免浮点累加误差。订单金额、报告金额、应收金额引用的是同一次计算的结果；如果因为改价需要重算，系统会保留旧值并记录变更原因。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3.2  单票成本的五个分项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单票成本由五个分项构成，每一项都有明确的事实来源与计价口径：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701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成本项</w:t>
            </w:r>
          </w:p>
        </w:tc>
        <w:tc>
          <w:tcPr>
            <w:tcW w:type="dxa" w:w="4195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事实来源</w:t>
            </w:r>
          </w:p>
        </w:tc>
        <w:tc>
          <w:tcPr>
            <w:tcW w:type="dxa" w:w="3628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计价口径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直接人工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任务工时；没填则按工序标准工时估算并标记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工时 × 岗位费率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试剂耗材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项目页领用登记，可挂库存台账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领用数量 × 台账单价（登记时快照）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设备折旧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项目页机时登记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机时 ×（原值 − 残值）÷ 寿命月数 ÷ 月标准机时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外协 / 其他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外协单核销（按账单金额）或项目页手工登记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核销后才入成本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管理费用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直接成本合计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直接成本 × 分摊比例（默认 10%）</w:t>
            </w:r>
          </w:p>
        </w:tc>
      </w:tr>
    </w:tbl>
    <w:p>
      <w:pPr>
        <w:spacing w:after="160"/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直接成本等于前四项之和，总成本等于直接成本乘以（1 + 管理分摊比例），毛利等于订单收入减总成本，毛利率等于毛利除以收入（收入取订单金额，不看回款）。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有两条容易被忽略的规则。第一，改费率不回改旧单据：历史成本按发生时口径快照，调费率只影响之后的登记。第二，单价为 0 的耗材，领用登记不进去，页面会标红提示补价——不补价就等于白做成本核算，这一点必须有人管。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3.3  毛利红线：拦人的，不只是变颜色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报价阶段用的是预估成本，交付之后用的是实际成本。两者之间应该有对照：如果实际毛利率比报价预估低超过 5 个百分点，系统会把这一单送进复盘。这条规则的作用不是考核，而是校准——如果某条业务线的预估总是偏高，说明基准成本该更新了。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红线的意义在于「真的拦住」。很多系统做到红灯变红就结束了，销售照样能点发送。这里的设计是：红灯改变流程，不改变权限——任何人都可以发起，但必须有人签批。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3.4  经营月报的六块内容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经营月报按月份切换，一屏看完六块内容，可一键打印或存 PDF，页面与打印共用一套数：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928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模块</w:t>
            </w:r>
          </w:p>
        </w:tc>
        <w:tc>
          <w:tcPr>
            <w:tcW w:type="dxa" w:w="3061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看什么</w:t>
            </w:r>
          </w:p>
        </w:tc>
        <w:tc>
          <w:tcPr>
            <w:tcW w:type="dxa" w:w="4535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口径要点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收入 · 利润表</w:t>
            </w:r>
          </w:p>
        </w:tc>
        <w:tc>
          <w:tcPr>
            <w:tcW w:type="dxa" w:w="30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营业收入、直接成本、毛利、管理分摊、经营利润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只结算本期交付/验收的订单，收入与成本同月配对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费用投入与供应商</w:t>
            </w:r>
          </w:p>
        </w:tc>
        <w:tc>
          <w:tcPr>
            <w:tcW w:type="dxa" w:w="30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本期费用、供应商排名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按登记日期统计，含在制项目；与营业成本口径不同，页面明确标注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库存资金占用</w:t>
            </w:r>
          </w:p>
        </w:tc>
        <w:tc>
          <w:tcPr>
            <w:tcW w:type="dxa" w:w="30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结存金额、临期、呆滞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有结存批次 × 单价；单价 0 只计数不计金额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区域渠道</w:t>
            </w:r>
          </w:p>
        </w:tc>
        <w:tc>
          <w:tcPr>
            <w:tcW w:type="dxa" w:w="30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各大区收入与单量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区域为空单列「未填区域」并标红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客户分层</w:t>
            </w:r>
          </w:p>
        </w:tc>
        <w:tc>
          <w:tcPr>
            <w:tcW w:type="dxa" w:w="30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贡献与活跃度分层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配合回款与复购看真实利润客户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目标与责任人</w:t>
            </w:r>
          </w:p>
        </w:tc>
        <w:tc>
          <w:tcPr>
            <w:tcW w:type="dxa" w:w="30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六项指标达成率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目标存在设置里，页面可改，达成率实时重算</w:t>
            </w:r>
          </w:p>
        </w:tc>
      </w:tr>
    </w:tbl>
    <w:p>
      <w:pPr>
        <w:spacing w:after="160"/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里要特别强调「费用投入」与「营业成本」是两套口径，互不替代。营业成本只算已交付订单的直接成本；费用投入按发生日期统计、包含在制项目。同一笔钱如果在两处都算，就会重复计算；如果只在一处算，另一处就会失真。所以页面上把两者的区别直接写出来，而不是留给读者自己猜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3.5  应收、账龄与回款天数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应收的三个基本口径：应收未收是未结清余额的当前值（不是当月发生额）；逾期是未结清且到期日早于今天；账龄按到期日分成 0-30、31-60、61-90、91-180、180+ 五桶。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另有两个派生指标。回款天数 DSO 等于应收余额除以近三个月月均回款再乘以 30，用来判断回款效率是在变好还是变差。让利率等于 1 减去实收除以标准价，其中标准价由计价引擎重新计算，不取手填的折扣——否则「折扣」这个字段迟早会变成装饰。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3.6  指标口径对照表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701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4535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口径</w:t>
            </w:r>
          </w:p>
        </w:tc>
        <w:tc>
          <w:tcPr>
            <w:tcW w:type="dxa" w:w="3402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常见误用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确认收入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订单下单日期落在统计月，且状态已过复核</w:t>
            </w:r>
          </w:p>
        </w:tc>
        <w:tc>
          <w:tcPr>
            <w:tcW w:type="dxa" w:w="3402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把已取消订单算进收入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营业成本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人工 + 耗材 + 设备 + 外协 + 其他（直接成本）</w:t>
            </w:r>
          </w:p>
        </w:tc>
        <w:tc>
          <w:tcPr>
            <w:tcW w:type="dxa" w:w="3402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把管理费用混进直接成本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毛利率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（收入 − 总成本）÷ 收入，未归集成本的订单不进分母</w:t>
            </w:r>
          </w:p>
        </w:tc>
        <w:tc>
          <w:tcPr>
            <w:tcW w:type="dxa" w:w="3402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用 100% 毛利率自欺欺人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应收未收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未结清余额（当前值）</w:t>
            </w:r>
          </w:p>
        </w:tc>
        <w:tc>
          <w:tcPr>
            <w:tcW w:type="dxa" w:w="3402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当成当月新增应收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任务按期率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完工日期 ≤ 计划完成日 的已完成任务占比</w:t>
            </w:r>
          </w:p>
        </w:tc>
        <w:tc>
          <w:tcPr>
            <w:tcW w:type="dxa" w:w="3402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把已取消任务计入分母</w:t>
            </w:r>
          </w:p>
        </w:tc>
      </w:tr>
      <w:tr>
        <w:tc>
          <w:tcPr>
            <w:tcW w:type="dxa" w:w="170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人效</w:t>
            </w:r>
          </w:p>
        </w:tc>
        <w:tc>
          <w:tcPr>
            <w:tcW w:type="dxa" w:w="453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确认收入 ÷ 在岗实验人员数</w:t>
            </w:r>
          </w:p>
        </w:tc>
        <w:tc>
          <w:tcPr>
            <w:tcW w:type="dxa" w:w="3402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用总人数（含行政）做分母</w:t>
            </w:r>
          </w:p>
        </w:tc>
      </w:tr>
    </w:tbl>
    <w:p>
      <w:pPr>
        <w:spacing w:after="160"/>
      </w:pP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3.7  数据从哪里来：一条链上的四个采集点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成本核算最容易失败的原因，不是算得不对，而是「数据没有在业务发生时被采集」。月底补一张成本表，补出来的永远是估计值。所以系统把采集点放在四个业务动作上：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814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采集点</w:t>
            </w:r>
          </w:p>
        </w:tc>
        <w:tc>
          <w:tcPr>
            <w:tcW w:type="dxa" w:w="4649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什么时候填</w:t>
            </w:r>
          </w:p>
        </w:tc>
        <w:tc>
          <w:tcPr>
            <w:tcW w:type="dxa" w:w="3175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进哪个成本项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工时填报</w:t>
            </w:r>
          </w:p>
        </w:tc>
        <w:tc>
          <w:tcPr>
            <w:tcW w:type="dxa" w:w="464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任务完成时，由实验员填实际工时</w:t>
            </w:r>
          </w:p>
        </w:tc>
        <w:tc>
          <w:tcPr>
            <w:tcW w:type="dxa" w:w="317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直接人工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领用登记</w:t>
            </w:r>
          </w:p>
        </w:tc>
        <w:tc>
          <w:tcPr>
            <w:tcW w:type="dxa" w:w="464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从库房领试剂耗材时，挂到项目上</w:t>
            </w:r>
          </w:p>
        </w:tc>
        <w:tc>
          <w:tcPr>
            <w:tcW w:type="dxa" w:w="317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试剂耗材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机时登记</w:t>
            </w:r>
          </w:p>
        </w:tc>
        <w:tc>
          <w:tcPr>
            <w:tcW w:type="dxa" w:w="464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使用设备时，记录起止时间</w:t>
            </w:r>
          </w:p>
        </w:tc>
        <w:tc>
          <w:tcPr>
            <w:tcW w:type="dxa" w:w="317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设备折旧</w:t>
            </w:r>
          </w:p>
        </w:tc>
      </w:tr>
      <w:tr>
        <w:tc>
          <w:tcPr>
            <w:tcW w:type="dxa" w:w="1814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外协核销</w:t>
            </w:r>
          </w:p>
        </w:tc>
        <w:tc>
          <w:tcPr>
            <w:tcW w:type="dxa" w:w="464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外协回件验收通过后，按账单金额核销</w:t>
            </w:r>
          </w:p>
        </w:tc>
        <w:tc>
          <w:tcPr>
            <w:tcW w:type="dxa" w:w="317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外协 / 其他</w:t>
            </w:r>
          </w:p>
        </w:tc>
      </w:tr>
    </w:tbl>
    <w:p>
      <w:pPr>
        <w:spacing w:after="160"/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四个动作本身就是业务的一部分，不需要额外「填报」。这也是为什么单票成本可以做到「随做随出」——它不是月底算出来的，而是每天累加出来的。管理分摊比例在报表阶段才叠加，所以调整分摊比例不会影响已经发生的直接成本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如果某一项确实没有采集（比如实验员忘了填工时），系统会退回工序的标准工时并标记为估算。这个标记会一直跟着这条成本，直到有人把真实工时补上——估算值可以用于决策，但必须让人知道它是估算值。</w:t>
      </w:r>
    </w:p>
    <w:p>
      <w:r>
        <w:br w:type="page"/>
      </w:r>
    </w:p>
    <w:p>
      <w:pPr>
        <w:keepNext/>
        <w:spacing w:before="360" w:after="200"/>
      </w:pPr>
      <w:r>
        <w:rPr>
          <w:rFonts w:ascii="微软雅黑" w:hAnsi="微软雅黑" w:eastAsia="微软雅黑"/>
          <w:b/>
          <w:color w:val="B8892B"/>
          <w:sz w:val="40"/>
        </w:rPr>
        <w:t xml:space="preserve">第四章  </w:t>
      </w:r>
      <w:r>
        <w:rPr>
          <w:rFonts w:ascii="微软雅黑" w:hAnsi="微软雅黑" w:eastAsia="微软雅黑"/>
          <w:b/>
          <w:color w:val="0D3B33"/>
          <w:sz w:val="40"/>
        </w:rPr>
        <w:t>怎么落地</w:t>
      </w:r>
    </w:p>
    <w:p>
      <w:pPr>
        <w:spacing w:before="0" w:after="240"/>
        <w:pBdr>
          <w:bottom w:val="single" w:sz="12" w:color="B8892B"/>
        </w:pBdr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这类系统的失败大多不是因为功能不够，而是因为一次上太多。我们的做法是先跑通一条链，让它产生真实数据，再往上长。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4.1  四周跑通最小闭环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247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周次</w:t>
            </w:r>
          </w:p>
        </w:tc>
        <w:tc>
          <w:tcPr>
            <w:tcW w:type="dxa" w:w="2268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目标</w:t>
            </w:r>
          </w:p>
        </w:tc>
        <w:tc>
          <w:tcPr>
            <w:tcW w:type="dxa" w:w="6009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交付物</w:t>
            </w:r>
          </w:p>
        </w:tc>
      </w:tr>
      <w:tr>
        <w:tc>
          <w:tcPr>
            <w:tcW w:type="dxa" w:w="1247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第 1 周</w:t>
            </w:r>
          </w:p>
        </w:tc>
        <w:tc>
          <w:tcPr>
            <w:tcW w:type="dxa" w:w="226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主数据与账号</w:t>
            </w:r>
          </w:p>
        </w:tc>
        <w:tc>
          <w:tcPr>
            <w:tcW w:type="dxa" w:w="600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检测项目、套餐、工序、样本类型、储位、客户与人员；权限按岗位过一遍</w:t>
            </w:r>
          </w:p>
        </w:tc>
      </w:tr>
      <w:tr>
        <w:tc>
          <w:tcPr>
            <w:tcW w:type="dxa" w:w="1247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第 2 周</w:t>
            </w:r>
          </w:p>
        </w:tc>
        <w:tc>
          <w:tcPr>
            <w:tcW w:type="dxa" w:w="226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报价到订单</w:t>
            </w:r>
          </w:p>
        </w:tc>
        <w:tc>
          <w:tcPr>
            <w:tcW w:type="dxa" w:w="600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计价口径对齐，毛利红线与折扣审批定档；合同模板与复核金额确认</w:t>
            </w:r>
          </w:p>
        </w:tc>
      </w:tr>
      <w:tr>
        <w:tc>
          <w:tcPr>
            <w:tcW w:type="dxa" w:w="1247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第 3 周</w:t>
            </w:r>
          </w:p>
        </w:tc>
        <w:tc>
          <w:tcPr>
            <w:tcW w:type="dxa" w:w="226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收样与实验</w:t>
            </w:r>
          </w:p>
        </w:tc>
        <w:tc>
          <w:tcPr>
            <w:tcW w:type="dxa" w:w="600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条码与储位落地，派单与工时填报；质控与设备台账建起来</w:t>
            </w:r>
          </w:p>
        </w:tc>
      </w:tr>
      <w:tr>
        <w:tc>
          <w:tcPr>
            <w:tcW w:type="dxa" w:w="1247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第 4 周</w:t>
            </w:r>
          </w:p>
        </w:tc>
        <w:tc>
          <w:tcPr>
            <w:tcW w:type="dxa" w:w="226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报告与收款</w:t>
            </w:r>
          </w:p>
        </w:tc>
        <w:tc>
          <w:tcPr>
            <w:tcW w:type="dxa" w:w="6009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报告模板定版、双签上线；应收与收款登记，跑出第一张对账单</w:t>
            </w:r>
          </w:p>
        </w:tc>
      </w:tr>
    </w:tbl>
    <w:p>
      <w:pPr>
        <w:spacing w:after="160"/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第二期（约 4–6 周）再上质量事件与 CAPA、经营月报口径校准、客户门户开放、历史数据批量迁移。每一期都以「能自己用起来」为验收标准，不以「功能上线」为标准。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4.2  版本、部署与配置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版本按实验室数量与模块档位划分，不按人头收费。按人头收费会诱导客户共用账号，而共用账号会让审计追踪失去意义——签名的是账号，不是人。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361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档位</w:t>
            </w:r>
          </w:p>
        </w:tc>
        <w:tc>
          <w:tcPr>
            <w:tcW w:type="dxa" w:w="2608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适合谁</w:t>
            </w:r>
          </w:p>
        </w:tc>
        <w:tc>
          <w:tcPr>
            <w:tcW w:type="dxa" w:w="5556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包含</w:t>
            </w:r>
          </w:p>
        </w:tc>
      </w:tr>
      <w:tr>
        <w:tc>
          <w:tcPr>
            <w:tcW w:type="dxa" w:w="13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标准版</w:t>
            </w:r>
          </w:p>
        </w:tc>
        <w:tc>
          <w:tcPr>
            <w:tcW w:type="dxa" w:w="260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单实验室、单业务线</w:t>
            </w:r>
          </w:p>
        </w:tc>
        <w:tc>
          <w:tcPr>
            <w:tcW w:type="dxa" w:w="5556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主链路 + 实验室运营 + 基础报告 + 应收</w:t>
            </w:r>
          </w:p>
        </w:tc>
      </w:tr>
      <w:tr>
        <w:tc>
          <w:tcPr>
            <w:tcW w:type="dxa" w:w="13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专业版</w:t>
            </w:r>
          </w:p>
        </w:tc>
        <w:tc>
          <w:tcPr>
            <w:tcW w:type="dxa" w:w="260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多业务线、有外协</w:t>
            </w:r>
          </w:p>
        </w:tc>
        <w:tc>
          <w:tcPr>
            <w:tcW w:type="dxa" w:w="5556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标准版 + 外协闭环 + 单票成本 + 经营月报</w:t>
            </w:r>
          </w:p>
        </w:tc>
      </w:tr>
      <w:tr>
        <w:tc>
          <w:tcPr>
            <w:tcW w:type="dxa" w:w="13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集团版</w:t>
            </w:r>
          </w:p>
        </w:tc>
        <w:tc>
          <w:tcPr>
            <w:tcW w:type="dxa" w:w="260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多实验室 / 多场所</w:t>
            </w:r>
          </w:p>
        </w:tc>
        <w:tc>
          <w:tcPr>
            <w:tcW w:type="dxa" w:w="5556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专业版 + 多租户隔离 + 汇总口径 + 审批链分级</w:t>
            </w:r>
          </w:p>
        </w:tc>
      </w:tr>
      <w:tr>
        <w:tc>
          <w:tcPr>
            <w:tcW w:type="dxa" w:w="136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私有化</w:t>
            </w:r>
          </w:p>
        </w:tc>
        <w:tc>
          <w:tcPr>
            <w:tcW w:type="dxa" w:w="260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数据必须落在自己机房</w:t>
            </w:r>
          </w:p>
        </w:tc>
        <w:tc>
          <w:tcPr>
            <w:tcW w:type="dxa" w:w="5556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任一档位 + 私有化部署与升级包</w:t>
            </w:r>
          </w:p>
        </w:tc>
      </w:tr>
    </w:tbl>
    <w:p>
      <w:pPr>
        <w:spacing w:after="160"/>
      </w:pP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部署上支持两种：SaaS 多租户按实验室隔离；私有化部署装在客户自己的服务器或云主机，数据完全在客户侧，我方提供升级包与技术支持。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4.3  权限、审计与数据归属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权限是「角色 × 权限点」，页面级与动作级分开配置。这样做的原因是：「能看见成本页」和「能改成本费率」是两种不同的授权，用同一个开关控制，迟早出事。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审计追踪只追加。关键写操作落日志，并在数据库层用触发器拒绝 UPDATE 与 DELETE。这意味着即使拥有数据库权限，也无法悄悄改掉一条历史记录——想改只能再写一条。配合电子签名，改字段会自动让签名失效并留下原因。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数据归属上，业务数据归客户所有；我方不将客户业务数据用于模型训练或对外提供。合同终止时可导出全量数据（结构化数据 + 附件），不设导出障碍。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4.4  历史数据怎么迁</w:t>
      </w:r>
    </w:p>
    <w:p>
      <w:pPr>
        <w:spacing w:after="120" w:before="0" w:line="420" w:lineRule="auto"/>
        <w:ind w:firstLine="420"/>
        <w:jc w:val="both"/>
      </w:pPr>
      <w:r>
        <w:rPr>
          <w:rFonts w:ascii="宋体" w:hAnsi="宋体" w:eastAsia="宋体"/>
          <w:b w:val="0"/>
          <w:color w:val="1D3A31"/>
          <w:sz w:val="21"/>
        </w:rPr>
        <w:t>历史数据不是一次性搬完的。建议的顺序与边界如下：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客户与联系人：模板导入，按名称去重；区域字段建议一次补齐。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检测项目与套餐：按业务线分批导入，项目编码可与现有台账一致，不必重编。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历史订单：只迁近 1–2 年，按订单与样本两层；迁入订单标记来源，便于核对。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报告归档：以 PDF 归档加关键字段结构化，不承诺把历史报告重排成新模板。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财务余额：期初应收按客户导入，与财务确认口径后再导入。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4.5  上线验收：八条可勾选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报价列表直接显示预估毛利率，红灯单必须走签批。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任一张样本两跳内查到母样本与所在储位。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设备过期、质控越限会拦住签发，而不是只变颜色。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报告双签记录可导出，编号 + 核验码可对外验真。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单票成本五类分项合计与归集成本一致。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经营月报的收入、成本、毛利与成本页同源。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应收账龄分桶合计等于应收余额。</w:t>
      </w:r>
    </w:p>
    <w:p>
      <w:pPr>
        <w:spacing w:after="80" w:line="396" w:lineRule="auto"/>
        <w:ind w:left="425"/>
      </w:pPr>
      <w:r>
        <w:rPr>
          <w:rFonts w:ascii="宋体" w:hAnsi="宋体" w:eastAsia="宋体"/>
          <w:b/>
          <w:color w:val="B8892B"/>
          <w:sz w:val="21"/>
        </w:rPr>
        <w:t xml:space="preserve">· </w:t>
      </w:r>
      <w:r>
        <w:rPr>
          <w:rFonts w:ascii="宋体" w:hAnsi="宋体" w:eastAsia="宋体"/>
          <w:color w:val="1D3A31"/>
          <w:sz w:val="21"/>
        </w:rPr>
        <w:t>客户账号越权访问返回 404，不泄露存在性。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4.6  上线前后最常被问的十个问题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问：聚研检测和普通 LIMS 有什么区别？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答：普通 LIMS 主要管样本与实验记录，钱的部分交给 ERP 或 Excel。聚研检测把报价、合同、订单、项目成本、应收与经营月报放在同一条链上，样本与实验也挂在这条链上，所以单票毛利是算出来的，不是月底估出来的。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问：我们规模不大，能只上一部分吗？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答：可以。最小可用组合是「客户 + 报价 + 订单 + 收样 + 报告 + 收款」，四周可上线；成本核算、经营月报、质量事件、客户门户可以后续加，不影响已有数据。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问：报价的毛利红线会不会太死板？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答：阈值可配。默认 25% 黄灯、15% 红灯，红灯触发审批而不是禁止；审批通过照样可以发。如果某个业务线基准成本缺失，系统不会硬给一个毛利结论，而是标「缺基准」。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问：样本条码要我们自己打印吗？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答：系统生成条码与寄样单，普通标签打印机或 A4 不干胶都能打；扫码用普通扫码枪或手机摄像头。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问：报告能改成我们自己的格式吗？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答：能。报告模板按版本管理，支持固定条款、方法依据、结果表、签章位；生成时快照模板版本与字段，改模板不影响已签发报告。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问：客户一定要注册才能看报告吗？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答：不一定。可以只发核验链接，客户在公开页凭「报告编号 + 核验码」验真，无需登录；需要看进度、下寄样申请时才需要账号。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问：数据放在哪里？能不能私有化部署？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答：两种都支持。SaaS 多租户按实验室隔离；私有化部署装在客户自己的服务器或云主机，数据完全在客户侧，我们提供升级包与技术支持。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问：历史数据怎么迁？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答：客户、检测项目、套餐、近 1–2 年订单按模板导入；历史报告以 PDF 归档加关键字段结构化。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问：系统要多少钱？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答：按实验室数量、模块档位与部署方式报价，不按人头收费。标准版适合单实验室单业务线，专业版增加外协闭环与经营核算，集团版支持多场所隔离与汇总。具体价格请电话沟通。</w:t>
      </w:r>
    </w:p>
    <w:p>
      <w:pPr>
        <w:keepNext/>
        <w:spacing w:before="200" w:after="80"/>
      </w:pPr>
      <w:r>
        <w:rPr>
          <w:rFonts w:ascii="微软雅黑" w:hAnsi="微软雅黑" w:eastAsia="微软雅黑"/>
          <w:b/>
          <w:color w:val="0F5D50"/>
          <w:sz w:val="23"/>
        </w:rPr>
        <w:t>问：上线后谁来维护？</w:t>
      </w:r>
    </w:p>
    <w:p>
      <w:pPr>
        <w:spacing w:after="160" w:line="408" w:lineRule="auto"/>
        <w:ind w:left="227"/>
      </w:pPr>
      <w:r>
        <w:rPr>
          <w:rFonts w:ascii="宋体" w:hAnsi="宋体" w:eastAsia="宋体"/>
          <w:color w:val="63776F"/>
          <w:sz w:val="21"/>
        </w:rPr>
        <w:t>答：我们提供 P1–P4 分级响应：P1 阻断 30 分钟内响应、4 小时内给临时方案、24 小时内修复；上线首两周远程驻场。私有化部署提供备份与恢复演练手册，客户 IT 可自行完成日常运维。</w:t>
      </w:r>
    </w:p>
    <w:p>
      <w:pPr>
        <w:keepNext/>
        <w:spacing w:before="280" w:after="120"/>
      </w:pPr>
      <w:r>
        <w:rPr>
          <w:rFonts w:ascii="微软雅黑" w:hAnsi="微软雅黑" w:eastAsia="微软雅黑"/>
          <w:b/>
          <w:color w:val="11554A"/>
          <w:sz w:val="28"/>
        </w:rPr>
        <w:t>4.7  四个常见的实施风险，以及怎么躲开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381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风险</w:t>
            </w:r>
          </w:p>
        </w:tc>
        <w:tc>
          <w:tcPr>
            <w:tcW w:type="dxa" w:w="4195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会发生什么</w:t>
            </w:r>
          </w:p>
        </w:tc>
        <w:tc>
          <w:tcPr>
            <w:tcW w:type="dxa" w:w="3628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怎么躲</w:t>
            </w:r>
          </w:p>
        </w:tc>
      </w:tr>
      <w:tr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一次上全模块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培训量过大，员工回到 Excel，系统变成「另一份录入」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先上最小闭环，用真实单子跑两周再扩展</w:t>
            </w:r>
          </w:p>
        </w:tc>
      </w:tr>
      <w:tr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主数据没定就上线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项目编码、工序、套餐反复改，历史数据跟着错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第一周只做一件事：把字典定下来并冻结</w:t>
            </w:r>
          </w:p>
        </w:tc>
      </w:tr>
      <w:tr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审批链照搬纸流程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节点过多，单据卡在中层，业务绕过系统走微信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先按金额分两档，跑顺再细化节点</w:t>
            </w:r>
          </w:p>
        </w:tc>
      </w:tr>
      <w:tr>
        <w:tc>
          <w:tcPr>
            <w:tcW w:type="dxa" w:w="2381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没有指定内部负责人</w:t>
            </w:r>
          </w:p>
        </w:tc>
        <w:tc>
          <w:tcPr>
            <w:tcW w:type="dxa" w:w="4195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问题没人拍板，实施方只能提建议不能决定</w:t>
            </w:r>
          </w:p>
        </w:tc>
        <w:tc>
          <w:tcPr>
            <w:tcW w:type="dxa" w:w="36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指定一位懂业务、能签字的人做项目负责人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keepNext/>
        <w:spacing w:before="360" w:after="200"/>
      </w:pPr>
      <w:r>
        <w:rPr>
          <w:rFonts w:ascii="微软雅黑" w:hAnsi="微软雅黑" w:eastAsia="微软雅黑"/>
          <w:b/>
          <w:color w:val="0D3B33"/>
          <w:sz w:val="40"/>
        </w:rPr>
        <w:t>附录  术语表</w:t>
      </w:r>
    </w:p>
    <w:p>
      <w:pPr>
        <w:spacing w:before="0" w:after="240"/>
        <w:pBdr>
          <w:bottom w:val="single" w:sz="12" w:color="B8892B"/>
        </w:pBdr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1928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术语</w:t>
            </w:r>
          </w:p>
        </w:tc>
        <w:tc>
          <w:tcPr>
            <w:tcW w:type="dxa" w:w="7030"/>
            <w:shd w:val="clear" w:fill="0D3B33"/>
          </w:tcPr>
          <w:p>
            <w:pPr>
              <w:jc w:val="left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单票成本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以订单为单位归集的成本，含人工、耗材、设备、外协、其他与管理分摊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毛利红线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预估毛利率的两个阈值：25% 黄灯、15% 红灯（可配）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样本谱系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蜡块 → 白片 → 切片 的派生关系，用于追溯母样本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留样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按法规或合同保留的样本，默认 180 天后进入处置流程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室内质控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用质控品与靶值监控检测系统稳定性，Levey-Jennings 曲线是常用工具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失控规则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1-3s：单点超出 ±3SD；2-2s：连续两点同侧且超出 ±2SD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授权签字人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经认可机构授权、可签发报告的人员（B 级资质模块）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内容哈希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对报告内容计算的摘要值，用于判断报告是否被更改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核验码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报告签发时生成的一次性校验码，与报告编号配合用于对外验真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交期雷达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按计划交付日倒排的预警视图，3 天紧急、7 天关注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TAT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Turnaround Time，从收样到报告交付的周转时间</w:t>
            </w:r>
          </w:p>
        </w:tc>
      </w:tr>
      <w:tr>
        <w:tc>
          <w:tcPr>
            <w:tcW w:type="dxa" w:w="1928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DSO</w:t>
            </w:r>
          </w:p>
        </w:tc>
        <w:tc>
          <w:tcPr>
            <w:tcW w:type="dxa" w:w="7030"/>
          </w:tcPr>
          <w:p>
            <w:pPr>
              <w:spacing w:after="40"/>
              <w:jc w:val="left"/>
            </w:pPr>
            <w:r/>
            <w:r>
              <w:rPr>
                <w:rFonts w:ascii="宋体" w:hAnsi="宋体" w:eastAsia="宋体"/>
                <w:color w:val="1D3A31"/>
                <w:sz w:val="19"/>
              </w:rPr>
              <w:t>Days Sales Outstanding，应收周转天数</w:t>
            </w:r>
          </w:p>
        </w:tc>
      </w:tr>
    </w:tbl>
    <w:p>
      <w:pPr>
        <w:spacing w:after="160"/>
      </w:pPr>
    </w:p>
    <w:p>
      <w:pPr>
        <w:spacing w:before="360"/>
      </w:pPr>
      <w:r>
        <w:rPr>
          <w:rFonts w:ascii="宋体" w:hAnsi="宋体" w:eastAsia="宋体"/>
          <w:color w:val="63776F"/>
          <w:sz w:val="18"/>
        </w:rPr>
        <w:t>本手册内容与线上系统功能逐条对齐；如发现文档与系统不一致，以系统为准。反馈与索取可编辑源文件，请联系王先生 18016313342（微信同号）或 cooper@micount.cn。</w:t>
      </w:r>
    </w:p>
    <w:sectPr w:rsidR="00FC693F" w:rsidRPr="0006063C" w:rsidSect="00034616">
      <w:footerReference w:type="default" r:id="rId9"/>
      <w:pgSz w:w="11906" w:h="16838"/>
      <w:pgMar w:top="1361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63776F"/>
        <w:sz w:val="16"/>
      </w:rPr>
      <w:t xml:space="preserve">聚研检测 · 检测机构管理系统 产品白皮书    </w:t>
    </w:r>
    <w:r/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