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left"/>
      </w:pPr>
      <w:r>
        <w:rPr>
          <w:rFonts w:ascii="微软雅黑" w:hAnsi="微软雅黑" w:eastAsia="微软雅黑"/>
          <w:b/>
          <w:color w:val="C0A062"/>
          <w:sz w:val="24"/>
        </w:rPr>
        <w:t>算数·愉乐旅游订单协同系统</w:t>
      </w:r>
    </w:p>
    <w:p>
      <w:r>
        <w:rPr>
          <w:rFonts w:ascii="微软雅黑" w:hAnsi="微软雅黑" w:eastAsia="微软雅黑"/>
          <w:b/>
          <w:color w:val="101C1A"/>
          <w:sz w:val="76"/>
        </w:rPr>
        <w:t>宣传手册</w:t>
      </w:r>
    </w:p>
    <w:p>
      <w:r>
        <w:rPr>
          <w:rFonts w:ascii="微软雅黑" w:hAnsi="微软雅黑" w:eastAsia="微软雅黑"/>
          <w:color w:val="2C7A63"/>
          <w:sz w:val="30"/>
        </w:rPr>
        <w:t>一张订单，走完录单、成本、结算与单据</w:t>
      </w:r>
    </w:p>
    <w:p>
      <w:r>
        <w:rPr>
          <w:rFonts w:ascii="微软雅黑" w:hAnsi="微软雅黑" w:eastAsia="微软雅黑"/>
          <w:color w:val="6B6A63"/>
          <w:sz w:val="21"/>
        </w:rPr>
        <w:t>地接社 · 组团社 · 专线批发　｜　业务 / 操作 / 财务三角色协同</w:t>
      </w:r>
    </w:p>
    <w:p/>
    <w:p/>
    <w:p/>
    <w:p/>
    <w:p/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204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463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版本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v1.0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编制日期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2026-10-25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适用对象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地接社、组团社、专线批发商、旅游门店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产品官网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https://p.zerocod.cn/lvyou/site/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咨询电话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400-678-7857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联系邮箱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cooper@micount.cn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出品单位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上海思扬信息科技有限公司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联合出品</w:t>
            </w:r>
          </w:p>
        </w:tc>
        <w:tc>
          <w:tcPr>
            <w:tcW w:type="dxa" w:w="646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算数云科技（深圳）有限公司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目录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一、行业现状：三套口径，一个订单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二、产品定位与适用对象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三、核心闭环：四步走完一单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四、功能详解：六大业务域，36 个模块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五、单据体系：14 类单据跟阶段走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六、双轨隔离：法人主体 × 销售渠道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七、数据与权限：三个角色，一套事实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八、部署、安全与合规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九、实施交付：四周一版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十、常见问题</w:t>
      </w:r>
    </w:p>
    <w:p>
      <w:pPr>
        <w:spacing w:after="80"/>
      </w:pPr>
      <w:r>
        <w:rPr>
          <w:rFonts w:ascii="微软雅黑" w:hAnsi="微软雅黑" w:eastAsia="微软雅黑"/>
          <w:b w:val="0"/>
          <w:color w:val="3A3833"/>
          <w:sz w:val="21"/>
        </w:rPr>
        <w:t>十一、联系与演示</w:t>
      </w:r>
    </w:p>
    <w:p>
      <w:r>
        <w:br w:type="page"/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一、行业现状：三套口径，一个订单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地接业务的账难做，通常不是因为人不努力，而是因为同一张订单上并存着三套口径：业务记的是报价，操作记的是成本，财务记的是收款。三套口径靠微信群、Excel 和口头交接对齐，问题就集中在交接处。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7"/>
        <w:gridCol w:w="3097"/>
        <w:gridCol w:w="3097"/>
      </w:tblGrid>
      <w:tr>
        <w:tc>
          <w:tcPr>
            <w:tcW w:type="dxa" w:w="192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断点</w:t>
            </w:r>
          </w:p>
        </w:tc>
        <w:tc>
          <w:tcPr>
            <w:tcW w:type="dxa" w:w="4195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表现</w:t>
            </w:r>
          </w:p>
        </w:tc>
        <w:tc>
          <w:tcPr>
            <w:tcW w:type="dxa" w:w="3175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后果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报价与成本脱节</w:t>
            </w:r>
          </w:p>
        </w:tc>
        <w:tc>
          <w:tcPr>
            <w:tcW w:type="dxa" w:w="419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业务按人头报出去，操作按票务、地接、房餐车逐项采购，两边不在一个页面上</w:t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毛利要到月底才知道，放价没有依据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定金与尾款对不上</w:t>
            </w:r>
          </w:p>
        </w:tc>
        <w:tc>
          <w:tcPr>
            <w:tcW w:type="dxa" w:w="419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平台回款、门店转账、导游代收同时发生，收款记录散在聊天记录里</w:t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核销全靠翻账，超收与欠收都发现得晚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单据重复手工填</w:t>
            </w:r>
          </w:p>
        </w:tc>
        <w:tc>
          <w:tcPr>
            <w:tcW w:type="dxa" w:w="419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确认件、名单表、出团通知、结算单字段高度重叠，每份都从订单再抄一遍</w:t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抄错就要重来，客诉风险高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变更没有留痕</w:t>
            </w:r>
          </w:p>
        </w:tc>
        <w:tc>
          <w:tcPr>
            <w:tcW w:type="dxa" w:w="419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改期、减人、退差发生在出团前后，谁批准的、退了多少钱没有记录</w:t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事后查不清，责任难界定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292"/>
      </w:tblGrid>
      <w:tr>
        <w:tc>
          <w:tcPr>
            <w:tcW w:type="dxa" w:w="9292"/>
            <w:shd w:val="clear" w:color="auto" w:fill="F6F3EC"/>
          </w:tcPr>
          <w:p>
            <w:pPr>
              <w:spacing w:before="160" w:after="160"/>
            </w:pPr>
            <w:r/>
            <w:r>
              <w:rPr>
                <w:rFonts w:ascii="微软雅黑" w:hAnsi="微软雅黑" w:eastAsia="微软雅黑"/>
                <w:color w:val="3A3833"/>
                <w:sz w:val="20"/>
              </w:rPr>
              <w:t>这四件事的共同点：都发生在「人交接」的地方。系统要解决的，是把交接点变成状态机与留痕。</w:t>
            </w:r>
          </w:p>
        </w:tc>
      </w:tr>
    </w:tbl>
    <w:p>
      <w:pPr>
        <w:spacing w:after="80"/>
      </w:pP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二、产品定位与适用对象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算数·愉乐不是通用 ERP，也不是又一张更复杂的 Excel。它只做一件事：让一张地接订单在业务、操作、财务之间按同一套口径流转，并自动生成按规定格式出具的单据。</w:t>
      </w: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适用对象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地接社：</w:t>
      </w:r>
      <w:r>
        <w:rPr>
          <w:rFonts w:ascii="微软雅黑" w:hAnsi="微软雅黑" w:eastAsia="微软雅黑"/>
          <w:color w:val="242321"/>
          <w:sz w:val="21"/>
        </w:rPr>
        <w:t>订单量大、渠道多（携程 / 同程 / 全球通 / 众信 / 门店直客）的地接社与专线批发商。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组团社：</w:t>
      </w:r>
      <w:r>
        <w:rPr>
          <w:rFonts w:ascii="微软雅黑" w:hAnsi="微软雅黑" w:eastAsia="微软雅黑"/>
          <w:color w:val="242321"/>
          <w:sz w:val="21"/>
        </w:rPr>
        <w:t>需要把销售报价与采购成本压在同一张单上的组团社。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多主体客户：</w:t>
      </w:r>
      <w:r>
        <w:rPr>
          <w:rFonts w:ascii="微软雅黑" w:hAnsi="微软雅黑" w:eastAsia="微软雅黑"/>
          <w:color w:val="242321"/>
          <w:sz w:val="21"/>
        </w:rPr>
        <w:t>涉及多个法人主体签约、需要按主体出单据与对账的集团型客户。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起步阶段团队：</w:t>
      </w:r>
      <w:r>
        <w:rPr>
          <w:rFonts w:ascii="微软雅黑" w:hAnsi="微软雅黑" w:eastAsia="微软雅黑"/>
          <w:color w:val="242321"/>
          <w:sz w:val="21"/>
        </w:rPr>
        <w:t>目前用 Excel 台账 + 微信群管理订单，希望先跑通最小闭环再逐步扩展的团队。</w:t>
      </w: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不适用的情况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如果只需要一个对外展示的线路报价页、不涉及成本与结算，本系统偏重；如果已经有一套覆盖全集团的 ERP，本系统更适合作为地接业务专线的补充，而不是替代。</w:t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三、核心闭环：四步走完一单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每一步都有明确的角色、校验和产出物。状态不在合法位置时，系统不给往下走，并返回具体原因。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58"/>
        <w:gridCol w:w="1858"/>
        <w:gridCol w:w="1858"/>
        <w:gridCol w:w="1858"/>
        <w:gridCol w:w="1858"/>
      </w:tblGrid>
      <w:tr>
        <w:tc>
          <w:tcPr>
            <w:tcW w:type="dxa" w:w="164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1417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3515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关键动作</w:t>
            </w:r>
          </w:p>
        </w:tc>
        <w:tc>
          <w:tcPr>
            <w:tcW w:type="dxa" w:w="181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校验</w:t>
            </w:r>
          </w:p>
        </w:tc>
        <w:tc>
          <w:tcPr>
            <w:tcW w:type="dxa" w:w="170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产出</w:t>
            </w:r>
          </w:p>
        </w:tc>
      </w:tr>
      <w:tr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01 业务录单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录客户、渠道、人数结构、日期，套用行程模板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必填项、毛利底线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订单主档、批次号</w:t>
            </w:r>
          </w:p>
        </w:tc>
      </w:tr>
      <w:tr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02 操作核成本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按科目落票务、地接、房、餐、车、保险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科目完整性、供应商绑定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成本台账</w:t>
            </w:r>
          </w:p>
        </w:tc>
      </w:tr>
      <w:tr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03 财务审核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核应收实收待收，逐笔登记定金尾款并核销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金额交叉校验、成本完整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审核记录、核销状态</w:t>
            </w:r>
          </w:p>
        </w:tc>
      </w:tr>
      <w:tr>
        <w:tc>
          <w:tcPr>
            <w:tcW w:type="dxa" w:w="164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04 单据出具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 / 操作 / 财务</w:t>
            </w:r>
          </w:p>
        </w:tc>
        <w:tc>
          <w:tcPr>
            <w:tcW w:type="dxa" w:w="3515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按阶段出 14 类单据，字段自动带入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必填字段、编号规则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合同、名单、结算单等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292"/>
      </w:tblGrid>
      <w:tr>
        <w:tc>
          <w:tcPr>
            <w:tcW w:type="dxa" w:w="9292"/>
            <w:shd w:val="clear" w:color="auto" w:fill="EDF3F0"/>
          </w:tcPr>
          <w:p>
            <w:pPr>
              <w:spacing w:before="160" w:after="160"/>
            </w:pPr>
            <w:r/>
            <w:r>
              <w:rPr>
                <w:rFonts w:ascii="微软雅黑" w:hAnsi="微软雅黑" w:eastAsia="微软雅黑"/>
                <w:color w:val="3A3833"/>
                <w:sz w:val="20"/>
              </w:rPr>
              <w:t>口径统一为「应收 − 成本 = 毛利」，不受收款进度干扰。定金、部分收款不再造成假亏损；超收部分单独识别为待退。</w:t>
            </w:r>
          </w:p>
        </w:tc>
      </w:tr>
    </w:tbl>
    <w:p>
      <w:pPr>
        <w:spacing w:after="80"/>
      </w:pP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四、功能详解：六大业务域，36 个模块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下表按业务域列出模块与主要产出，共 36 个模块、145 条功能点。功能点级别的说明、优先级与落地状态见随附的《功能清单 Excel》。</w:t>
      </w: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录单与报价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订单中心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一次录清客户、渠道、人数结构（成人/儿童/领队）、出发地、出发与返程日期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包价旅游合同、确认件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行程模板与拆解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线路名称、天数、景点清单、用车与用餐标准、默认成本结构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作业单、确认件、行程单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询价与成本估算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按团登记票务、地接、房、餐、车报价，标注报价方与有效期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报价与多版本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成人价、儿童价、单房差、领队价分别设置，自动汇总团款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报价单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毛利底线校验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同业、直客、平台渠道分别设置毛利率下限与绝对额下限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客户与授信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客户名称、类型、联系人、结算方式（现结/月结/平台回款）、开票信息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渠道对账单</w:t>
            </w:r>
          </w:p>
        </w:tc>
      </w:tr>
    </w:tbl>
    <w:p>
      <w:pPr>
        <w:spacing w:after="40"/>
      </w:pP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成本与资源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成本科目与台账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去程票务、回程票务、地接、房、餐、车、保险、其他成本分科目记账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结算单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供应商与协议价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地接社、票务代理、酒店、餐厅、车队、保险公司统一建档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供应商付款单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酒店与房型房量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标准间、大床、三人间、加床的价格与可售数量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结算单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餐厅与餐标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按线路配置正餐、早餐、特色餐标准与人数下限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作业单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车辆与司机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车型、座位数、行李位、车龄、所属车队与联系人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出团通知书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门票与实名预约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成人票、儿童票、优待票、团队票分别维护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出票名单确认表、退款审批单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导游库与档期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语种、等级、常驻区域、结算标准、历史带团记录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作业单、供应商付款单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库存中心与切位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下单即锁定对应日期与房型/车位，事务内完成，避免并发超卖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</w:tbl>
    <w:p>
      <w:pPr>
        <w:spacing w:after="40"/>
      </w:pP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财务与结算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收款与核销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定金、尾款、平台回款、导游代收分别登记，含收款方式与流水号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收款收据、渠道对账单、退款审批单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财务审核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应收、实收、成本、毛利四项交叉校验，异常给出具体科目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结算单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应收、已收、待收、成本、毛利、结算说明一页呈现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团款结算单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渠道对账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携程、同程、全球通、众信、门店直客分别汇总团号、人数、单价、应收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渠道对账单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开票与付款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抬头、税号、项目、金额、税率，支持差额征税与普票/专票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供应商付款单、开票申请单</w:t>
            </w:r>
          </w:p>
        </w:tc>
      </w:tr>
    </w:tbl>
    <w:p>
      <w:pPr>
        <w:spacing w:after="40"/>
      </w:pP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单据与合规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单据服务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包价合同、确认件、收据、出票名单、投保清单、地接委托、出团通知、意见单、结算单、对账单、付款单、开票申请、变更单、退款单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全部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名单与证件校验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按批次录入姓名、证件类型与号码、出生日期、成人/儿童标识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出票名单确认表、变更确认单、投保清单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附件与存档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合同扫描件、客户确认截图、付款凭证挂到订单或单据下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审计与敏感数据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记录谁、何时、改前、改后、IP、traceId，覆盖全部业务写操作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状态机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状态变更只能经状态机服务，禁止业务代码直接 UPDATE 状态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</w:tbl>
    <w:p>
      <w:pPr>
        <w:spacing w:after="40"/>
      </w:pP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团队执行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作业单与分派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按订单与阶段生成作业单，列明事项、截止时间与责任人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作业单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派团与导服结算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按线路与语种筛选可用导游，冲突时给出替代建议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供应商付款单、出团通知书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分房分车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按名单分房，支持同住规则、单男单女处理与房差回写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出团通知书、变更确认单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应急值班与实到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按日期排值班人与联系方式，出团期间可查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团款结算单</w:t>
            </w:r>
          </w:p>
        </w:tc>
      </w:tr>
    </w:tbl>
    <w:p>
      <w:pPr>
        <w:spacing w:after="40"/>
      </w:pPr>
    </w:p>
    <w:p>
      <w:pPr>
        <w:spacing w:before="240" w:after="160"/>
      </w:pPr>
      <w:r>
        <w:rPr>
          <w:rFonts w:ascii="微软雅黑" w:hAnsi="微软雅黑" w:eastAsia="微软雅黑"/>
          <w:b/>
          <w:color w:val="101C1A"/>
          <w:sz w:val="26"/>
        </w:rPr>
        <w:t>数据与权限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4876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核心功能（节选）</w:t>
            </w:r>
          </w:p>
        </w:tc>
        <w:tc>
          <w:tcPr>
            <w:tcW w:type="dxa" w:w="113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功能点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主要产出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用户角色组织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账号绑定部门与岗位，支持停用与调岗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通知中心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成本待补、单据待出、审核待办按角色推送到待办列表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3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配置中心与主数据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渠道名称、结算方式、扣点、开票主体，一处维护全局引用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7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主数据管理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渠道名称、结算方式、扣点、保险方与保费，录单选渠道自动带出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包价旅游合同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数据字典与数据工具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行程性质、证件类型、结算方式等枚举可增删停用，一处维护全局引用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统计报表与下钻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订单数、人次、应收、成本、毛利、待收、人均客单、人均毛利一屏看完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6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移动填报与分享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工作台、订单、填报、我的四个页签，手机上就能看待办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4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汇总分析</w:t>
            </w:r>
          </w:p>
        </w:tc>
        <w:tc>
          <w:tcPr>
            <w:tcW w:type="dxa" w:w="4876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草稿 → 待录成本 → 待审核 → 已审核 → 已结算 五段计数与金额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5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内部台账</w:t>
            </w:r>
          </w:p>
        </w:tc>
      </w:tr>
    </w:tbl>
    <w:p>
      <w:pPr>
        <w:spacing w:after="40"/>
      </w:pP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五、单据体系：14 类单据跟阶段走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单据不是「模板套数据」那么简单：每一类都有固定的触发阶段、必填字段和责任人。编号与订单绑定，换主体重出、作废重开都会留痕。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58"/>
        <w:gridCol w:w="1858"/>
        <w:gridCol w:w="1858"/>
        <w:gridCol w:w="1858"/>
        <w:gridCol w:w="1858"/>
      </w:tblGrid>
      <w:tr>
        <w:tc>
          <w:tcPr>
            <w:tcW w:type="dxa" w:w="79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编号</w:t>
            </w:r>
          </w:p>
        </w:tc>
        <w:tc>
          <w:tcPr>
            <w:tcW w:type="dxa" w:w="221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单据</w:t>
            </w:r>
          </w:p>
        </w:tc>
        <w:tc>
          <w:tcPr>
            <w:tcW w:type="dxa" w:w="192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触发阶段</w:t>
            </w:r>
          </w:p>
        </w:tc>
        <w:tc>
          <w:tcPr>
            <w:tcW w:type="dxa" w:w="3969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关键内容</w:t>
            </w:r>
          </w:p>
        </w:tc>
        <w:tc>
          <w:tcPr>
            <w:tcW w:type="dxa" w:w="170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责任人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01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包价旅游合同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售前签约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行程、人数、团款、退改条款、双方签章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02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确认件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售前签约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线路、日期、人数、结算价、附件行程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03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收款收据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售前签约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收款金额、方式、经手人、收据编号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04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出票名单确认表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操作出票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姓名、证件号、票号、去回程、批次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05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投保清单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操作投保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被保险人、证件、保额、保单号、保险期间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06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地接委托协议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操作出票 / 投保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地接社、委托内容、结算价、违约条款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07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出团通知书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出团交接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集合时间地点、导游、车辆、酒店、注意事项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08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游客意见单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出团交接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行程满意度、导游服务、问题反馈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导游 / 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09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团款结算单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收费结算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应收、已收、成本、毛利、结算说明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10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渠道对账单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收费结算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渠道、团号、人数、单价、应收、差异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11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供应商付款单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收费结算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供应商、事由、金额、付款方式、审批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12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开票申请单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收费结算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抬头、税号、项目、金额、税率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13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变更确认单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变更售后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变更项、原值、新值、差额、客户确认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 / 操作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14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退款审批单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变更售后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退款原因、金额、承担方、审批链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 / 主管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微软雅黑" w:hAnsi="微软雅黑" w:eastAsia="微软雅黑"/>
          <w:b w:val="0"/>
          <w:color w:val="6B6A63"/>
          <w:sz w:val="19"/>
        </w:rPr>
        <w:t>输出方式：浏览器打印即可另存 PDF，版式固定，支持印章位与骑缝；附件可挂合同扫描件与客户确认截图。</w:t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六、双轨隔离：法人主体 × 销售渠道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同一批客人可能走不同主体签约、不同渠道结算。系统用两条独立维度管理：单据抬头跟主体走，对账口径跟渠道走。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7"/>
        <w:gridCol w:w="3097"/>
        <w:gridCol w:w="3097"/>
      </w:tblGrid>
      <w:tr>
        <w:tc>
          <w:tcPr>
            <w:tcW w:type="dxa" w:w="1587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决定什么</w:t>
            </w:r>
          </w:p>
        </w:tc>
        <w:tc>
          <w:tcPr>
            <w:tcW w:type="dxa" w:w="5443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具体表现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法人主体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「以谁的名义」</w:t>
            </w:r>
          </w:p>
        </w:tc>
        <w:tc>
          <w:tcPr>
            <w:tcW w:type="dxa" w:w="544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抬头、税号、开户行、印章；合同、收据、结算单按主体出具；主体切换需权限并留痕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销售渠道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「按谁的口径对账」</w:t>
            </w:r>
          </w:p>
        </w:tc>
        <w:tc>
          <w:tcPr>
            <w:tcW w:type="dxa" w:w="5443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携程 / 同程 / 全球通 / 众信 / 门店直客；结算方式现结 / 月结 / 平台回款；对账单按渠道出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292"/>
      </w:tblGrid>
      <w:tr>
        <w:tc>
          <w:tcPr>
            <w:tcW w:type="dxa" w:w="9292"/>
            <w:shd w:val="clear" w:color="auto" w:fill="F6F3EC"/>
          </w:tcPr>
          <w:p>
            <w:pPr>
              <w:spacing w:before="160" w:after="160"/>
            </w:pPr>
            <w:r/>
            <w:r>
              <w:rPr>
                <w:rFonts w:ascii="微软雅黑" w:hAnsi="微软雅黑" w:eastAsia="微软雅黑"/>
                <w:color w:val="3A3833"/>
                <w:sz w:val="20"/>
              </w:rPr>
              <w:t>在数据上就是两个字段：entity_id（主体）与 channel_id（渠道）。所有业务表都带 entity_id，查询默认按主体过滤，跨主体看数需要显式授权。</w:t>
            </w:r>
          </w:p>
        </w:tc>
      </w:tr>
    </w:tbl>
    <w:p>
      <w:pPr>
        <w:spacing w:after="80"/>
      </w:pP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七、数据与权限：三个角色，一套事实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136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角色</w:t>
            </w:r>
          </w:p>
        </w:tc>
        <w:tc>
          <w:tcPr>
            <w:tcW w:type="dxa" w:w="260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看什么</w:t>
            </w:r>
          </w:p>
        </w:tc>
        <w:tc>
          <w:tcPr>
            <w:tcW w:type="dxa" w:w="306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能做什么</w:t>
            </w:r>
          </w:p>
        </w:tc>
        <w:tc>
          <w:tcPr>
            <w:tcW w:type="dxa" w:w="226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不能做什么</w:t>
            </w:r>
          </w:p>
        </w:tc>
      </w:tr>
      <w:tr>
        <w:tc>
          <w:tcPr>
            <w:tcW w:type="dxa" w:w="13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业务</w:t>
            </w:r>
          </w:p>
        </w:tc>
        <w:tc>
          <w:tcPr>
            <w:tcW w:type="dxa" w:w="260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报价、客户、预算毛利</w:t>
            </w:r>
          </w:p>
        </w:tc>
        <w:tc>
          <w:tcPr>
            <w:tcW w:type="dxa" w:w="30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录单、报价、提交、跟客户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不能改成本，不能审自己的单</w:t>
            </w:r>
          </w:p>
        </w:tc>
      </w:tr>
      <w:tr>
        <w:tc>
          <w:tcPr>
            <w:tcW w:type="dxa" w:w="13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</w:t>
            </w:r>
          </w:p>
        </w:tc>
        <w:tc>
          <w:tcPr>
            <w:tcW w:type="dxa" w:w="260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资源、成本、名单、执行</w:t>
            </w:r>
          </w:p>
        </w:tc>
        <w:tc>
          <w:tcPr>
            <w:tcW w:type="dxa" w:w="30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落成本、派团、出执行单据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不能改报价，不能做结算</w:t>
            </w:r>
          </w:p>
        </w:tc>
      </w:tr>
      <w:tr>
        <w:tc>
          <w:tcPr>
            <w:tcW w:type="dxa" w:w="13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财务</w:t>
            </w:r>
          </w:p>
        </w:tc>
        <w:tc>
          <w:tcPr>
            <w:tcW w:type="dxa" w:w="260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金额、单据、结算</w:t>
            </w:r>
          </w:p>
        </w:tc>
        <w:tc>
          <w:tcPr>
            <w:tcW w:type="dxa" w:w="30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核收款、审单、结算、对账、开票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不能自行改业务报价</w:t>
            </w:r>
          </w:p>
        </w:tc>
      </w:tr>
      <w:tr>
        <w:tc>
          <w:tcPr>
            <w:tcW w:type="dxa" w:w="13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主管</w:t>
            </w:r>
          </w:p>
        </w:tc>
        <w:tc>
          <w:tcPr>
            <w:tcW w:type="dxa" w:w="260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漏斗、损益、问题清单</w:t>
            </w:r>
          </w:p>
        </w:tc>
        <w:tc>
          <w:tcPr>
            <w:tcW w:type="dxa" w:w="306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放价审批、退款审批、跨角色授权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越权操作全部留痕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微软雅黑" w:hAnsi="微软雅黑" w:eastAsia="微软雅黑"/>
          <w:b w:val="0"/>
          <w:color w:val="3A3833"/>
          <w:sz w:val="19"/>
        </w:rPr>
        <w:t>审计：记录谁、何时、改前、改后、IP、traceId；身份证、护照、手机号、银行卡等敏感字段的读取同样记录；批量导出需审批，导出行为单独审计。</w:t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八、部署、安全与合规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部署方式：</w:t>
      </w:r>
      <w:r>
        <w:rPr>
          <w:rFonts w:ascii="微软雅黑" w:hAnsi="微软雅黑" w:eastAsia="微软雅黑"/>
          <w:color w:val="242321"/>
          <w:sz w:val="21"/>
        </w:rPr>
        <w:t>正式环境可按私有部署方式交付，数据库独立、入口收口，不与演示环境共用数据。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权限与账号：</w:t>
      </w:r>
      <w:r>
        <w:rPr>
          <w:rFonts w:ascii="微软雅黑" w:hAnsi="微软雅黑" w:eastAsia="微软雅黑"/>
          <w:color w:val="242321"/>
          <w:sz w:val="21"/>
        </w:rPr>
        <w:t>账号最小权限、密码加盐存储、会话有效期控制；敏感字段读取与写操作全部落审计表。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金额精度：</w:t>
      </w:r>
      <w:r>
        <w:rPr>
          <w:rFonts w:ascii="微软雅黑" w:hAnsi="微软雅黑" w:eastAsia="微软雅黑"/>
          <w:color w:val="242321"/>
          <w:sz w:val="21"/>
        </w:rPr>
        <w:t>金额以「分」为单位整数存储，禁用浮点；税额与含税价分开存；汇率等系数用高精度类型。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数据留存：</w:t>
      </w:r>
      <w:r>
        <w:rPr>
          <w:rFonts w:ascii="微软雅黑" w:hAnsi="微软雅黑" w:eastAsia="微软雅黑"/>
          <w:color w:val="242321"/>
          <w:sz w:val="21"/>
        </w:rPr>
        <w:t>业务表统一软删（deleted_at），涉账数据禁止物理删除，只能红冲单据保留原记录。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状态管控：</w:t>
      </w:r>
      <w:r>
        <w:rPr>
          <w:rFonts w:ascii="微软雅黑" w:hAnsi="微软雅黑" w:eastAsia="微软雅黑"/>
          <w:color w:val="242321"/>
          <w:sz w:val="21"/>
        </w:rPr>
        <w:t>状态变更只能经统一状态机，非法流转返回明确原因，不在业务代码里直接改状态。</w:t>
      </w:r>
    </w:p>
    <w:p>
      <w:pPr>
        <w:pStyle w:val="ListBullet"/>
        <w:spacing w:after="80" w:line="324" w:lineRule="auto"/>
      </w:pPr>
      <w:r>
        <w:rPr>
          <w:rFonts w:ascii="微软雅黑" w:hAnsi="微软雅黑" w:eastAsia="微软雅黑"/>
          <w:b/>
          <w:color w:val="2C7A63"/>
          <w:sz w:val="21"/>
        </w:rPr>
        <w:t>合规提示：</w:t>
      </w:r>
      <w:r>
        <w:rPr>
          <w:rFonts w:ascii="微软雅黑" w:hAnsi="微软雅黑" w:eastAsia="微软雅黑"/>
          <w:color w:val="242321"/>
          <w:sz w:val="21"/>
        </w:rPr>
        <w:t>跨境或出境业务涉及个人信息出境的，按现行法规单独评估，必要时收口在境内。</w:t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九、实施交付：四周一版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181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742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关键动作</w:t>
            </w:r>
          </w:p>
        </w:tc>
        <w:tc>
          <w:tcPr>
            <w:tcW w:type="dxa" w:w="2381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交付物</w:t>
            </w:r>
          </w:p>
        </w:tc>
        <w:tc>
          <w:tcPr>
            <w:tcW w:type="dxa" w:w="2948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验收标准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第 1 周 定范围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确认主体、渠道、成本科目、单据抬头与状态口径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范围确认书、科目表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三角色对同一份口径签字确认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第 2 周 初始化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导入供应商、渠道、模板与老单台账，校对首月数据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初始化数据包、校验报告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主数据无重复，老单金额与台账一致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第 3 周 角色培训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三张操作卡，用演示团各走一遍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操作卡、走查记录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每角色独立完成一单全流程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第 4 周 并行验收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新旧并行两周，验收金额、单据、留痕</w:t>
            </w:r>
          </w:p>
        </w:tc>
        <w:tc>
          <w:tcPr>
            <w:tcW w:type="dxa" w:w="2381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验收报告、问题清单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8"/>
              </w:rPr>
              <w:t>金额零差异、单据齐全、留痕可检索</w:t>
            </w:r>
          </w:p>
        </w:tc>
      </w:tr>
    </w:tbl>
    <w:p>
      <w:pPr>
        <w:spacing w:after="40"/>
      </w:pP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十、常见问题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我们规模不大，会不会用不起来？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模块可以按需启用。最小可用范围就是「订单 + 成本 + 财务审核 + 三张单」：业务录单、操作落成本、财务核金额。先跑通这一单，再扩单据和团队执行。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和通用 ERP、Excel 台账的区别在哪？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通用 ERP 没有「一团多单、批次号、地接名单、房差、导游派团」这些地接口径；Excel 台账没有状态机与留痕，改一次就覆盖一次。这里是同一张订单上三个角色的协作记录。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已有的老单能不能带进来？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可以。提供 Excel 导入模板，字段按系统口径映射；历史单以「已完结」状态导入，保留原始金额与成本，不参与新流程流转。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能不能按我们的单据格式改？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单据模板支持抬头、主体、印章、条款的配置化调整；字段层面的改动按范围评估，正式交付前会先出字段清单确认。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数据放在哪？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演示环境为独立实例；正式环境可按私有部署方式交付，数据库独立、入口收口、写操作留痕。</w:t>
      </w:r>
    </w:p>
    <w:p>
      <w:pPr>
        <w:spacing w:after="40"/>
      </w:pPr>
      <w:r>
        <w:rPr>
          <w:rFonts w:ascii="微软雅黑" w:hAnsi="微软雅黑" w:eastAsia="微软雅黑"/>
          <w:b/>
          <w:color w:val="101C1A"/>
          <w:sz w:val="21"/>
        </w:rPr>
        <w:t>多久能看到效果？</w:t>
      </w:r>
    </w:p>
    <w:p>
      <w:pPr>
        <w:spacing w:after="200"/>
      </w:pPr>
      <w:r>
        <w:rPr>
          <w:rFonts w:ascii="微软雅黑" w:hAnsi="微软雅黑" w:eastAsia="微软雅黑"/>
          <w:b w:val="0"/>
          <w:color w:val="3A3833"/>
          <w:sz w:val="20"/>
        </w:rPr>
        <w:t>如果主数据齐全，第一周就能用真实团跑通一张订单的录入到结算；四周完成第一版并行验收。</w:t>
      </w:r>
    </w:p>
    <w:p>
      <w:pPr>
        <w:spacing w:before="360" w:after="160"/>
      </w:pPr>
      <w:r>
        <w:rPr>
          <w:rFonts w:ascii="微软雅黑" w:hAnsi="微软雅黑" w:eastAsia="微软雅黑"/>
          <w:b/>
          <w:color w:val="101C1A"/>
          <w:sz w:val="34"/>
        </w:rPr>
        <w:t>十一、联系与演示</w:t>
      </w:r>
    </w:p>
    <w:p>
      <w:pPr>
        <w:spacing w:after="120"/>
      </w:pPr>
      <w:r>
        <w:rPr>
          <w:rFonts w:ascii="微软雅黑" w:hAnsi="微软雅黑" w:eastAsia="微软雅黑"/>
          <w:b w:val="0"/>
          <w:color w:val="242321"/>
          <w:sz w:val="21"/>
        </w:rPr>
        <w:t>15 分钟演示，不谈概念：从录单开始，到你最关心的那张单据统计结束。带上一条线路的真实人数、成本结构和渠道结算方式，我们按你的口径走。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1814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渠道</w:t>
            </w:r>
          </w:p>
        </w:tc>
        <w:tc>
          <w:tcPr>
            <w:tcW w:type="dxa" w:w="6690"/>
            <w:shd w:val="clear" w:color="auto" w:fill="101C1A"/>
          </w:tcPr>
          <w:p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信息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官网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https://p.zerocod.cn/lvyou/site/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下载中心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https://p.zerocod.cn/lvyou/site/download/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在线演示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https://p.zerocod.cn/lvyou/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咨询电话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400-678-7857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联系邮箱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cooper@micount.cn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办公地址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上海市静安区汶水路 480 号（鑫森园区）103 号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出品单位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上海思扬信息科技有限公司</w:t>
            </w:r>
          </w:p>
        </w:tc>
      </w:tr>
      <w:tr>
        <w:tc>
          <w:tcPr>
            <w:tcW w:type="dxa" w:w="1814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联合出品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color w:val="242321"/>
                <w:sz w:val="19"/>
              </w:rPr>
              <w:t>算数云科技（深圳）有限公司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rFonts w:ascii="微软雅黑" w:hAnsi="微软雅黑" w:eastAsia="微软雅黑"/>
          <w:b w:val="0"/>
          <w:color w:val="6B6A63"/>
          <w:sz w:val="17"/>
        </w:rPr>
        <w:t>© 2026 上海思扬信息科技有限公司 · 算数云科技（深圳）有限公司　v1.0　本手册中的演示数据为结构化示例，不代表真实客户。</w:t>
      </w:r>
    </w:p>
    <w:sectPr w:rsidR="00FC693F" w:rsidRPr="0006063C" w:rsidSect="00034616">
      <w:pgSz w:w="12240" w:h="15840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48" w:after="120"/>
    </w:pPr>
    <w:rPr>
      <w:rFonts w:ascii="微软雅黑" w:hAnsi="微软雅黑" w:eastAsia="微软雅黑"/>
      <w:color w:val="24232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