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after="40"/>
        <w:jc w:val="center"/>
      </w:pPr>
      <w:r>
        <w:rPr>
          <w:rFonts w:ascii="微软雅黑" w:hAnsi="微软雅黑" w:eastAsia="微软雅黑"/>
          <w:b/>
          <w:i w:val="0"/>
          <w:color w:val="B98A3E"/>
          <w:sz w:val="52"/>
        </w:rPr>
        <w:t>ChainOne</w:t>
      </w:r>
    </w:p>
    <w:p>
      <w:pPr>
        <w:spacing w:after="80"/>
        <w:jc w:val="center"/>
      </w:pPr>
      <w:r>
        <w:rPr>
          <w:rFonts w:ascii="微软雅黑" w:hAnsi="微软雅黑" w:eastAsia="微软雅黑"/>
          <w:b/>
          <w:i w:val="0"/>
          <w:color w:val="0F5F57"/>
          <w:sz w:val="60"/>
        </w:rPr>
        <w:t>保健养生连锁</w:t>
      </w:r>
    </w:p>
    <w:p>
      <w:pPr>
        <w:spacing w:after="360"/>
        <w:jc w:val="center"/>
      </w:pPr>
      <w:r>
        <w:rPr>
          <w:rFonts w:ascii="微软雅黑" w:hAnsi="微软雅黑" w:eastAsia="微软雅黑"/>
          <w:b w:val="0"/>
          <w:i w:val="0"/>
          <w:color w:val="1D3B35"/>
          <w:sz w:val="32"/>
        </w:rPr>
        <w:t>数字化运营白皮书与产品手册</w:t>
      </w:r>
    </w:p>
    <w:p>
      <w:pPr>
        <w:spacing w:before="80" w:after="240"/>
        <w:pBdr>
          <w:bottom w:val="single" w:sz="6" w:color="B98A3E"/>
        </w:pBdr>
      </w:pPr>
    </w:p>
    <w:p>
      <w:pPr>
        <w:spacing w:after="600"/>
        <w:jc w:val="center"/>
      </w:pPr>
      <w:r>
        <w:rPr>
          <w:rFonts w:ascii="微软雅黑" w:hAnsi="微软雅黑" w:eastAsia="微软雅黑"/>
          <w:b w:val="0"/>
          <w:i w:val="0"/>
          <w:color w:val="5D716C"/>
          <w:sz w:val="21"/>
        </w:rPr>
        <w:t>门店收银 · 会员与使用人 · 储值卡合规 · 效期批文 · 银发关怀 · 加盟分账 · 代工自有品牌</w:t>
      </w:r>
    </w:p>
    <w:p>
      <w:pPr>
        <w:spacing w:after="80"/>
        <w:jc w:val="center"/>
      </w:pPr>
      <w:r>
        <w:rPr>
          <w:rFonts w:ascii="微软雅黑" w:hAnsi="微软雅黑" w:eastAsia="微软雅黑"/>
          <w:b w:val="0"/>
          <w:i w:val="0"/>
          <w:color w:val="5D716C"/>
          <w:sz w:val="21"/>
        </w:rPr>
        <w:t>版本 v3.3（2026-10）</w:t>
      </w:r>
    </w:p>
    <w:p>
      <w:pPr>
        <w:spacing w:after="80"/>
        <w:jc w:val="center"/>
      </w:pPr>
      <w:r>
        <w:rPr>
          <w:rFonts w:ascii="微软雅黑" w:hAnsi="微软雅黑" w:eastAsia="微软雅黑"/>
          <w:b w:val="0"/>
          <w:i w:val="0"/>
          <w:color w:val="5D716C"/>
          <w:sz w:val="21"/>
        </w:rPr>
        <w:t>上海思扬信息科技有限公司 · 算数云科技（深圳）有限公司</w:t>
      </w:r>
    </w:p>
    <w:p>
      <w:pPr>
        <w:spacing w:after="80"/>
        <w:jc w:val="center"/>
      </w:pPr>
      <w:r>
        <w:rPr>
          <w:rFonts w:ascii="微软雅黑" w:hAnsi="微软雅黑" w:eastAsia="微软雅黑"/>
          <w:b w:val="0"/>
          <w:i w:val="0"/>
          <w:color w:val="5D716C"/>
          <w:sz w:val="21"/>
        </w:rPr>
        <w:t>https://p.zerocod.cn/shop-baojianpin/</w:t>
      </w:r>
    </w:p>
    <w:p>
      <w:r>
        <w:br w:type="page"/>
      </w:r>
    </w:p>
    <w:p>
      <w:pPr>
        <w:pStyle w:val="Heading1"/>
      </w:pPr>
      <w:r>
        <w:t>目录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第一章  保健养生连锁的四个断点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第二章  产品定位与整体结构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第三章  门店端：收银、会员与使用人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第四章  资金：储值卡与预付合规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第五章  商品：批文、效期与批次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第六章  总部：加盟、企业客户与结算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第七章  供应链与代工自有品牌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第八章  合规、权限与审计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第九章  实施方法与服务边界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第十章  常见问题</w:t>
      </w:r>
    </w:p>
    <w:p>
      <w:pPr>
        <w:spacing w:after="80"/>
      </w:pPr>
      <w:r>
        <w:rPr>
          <w:rFonts w:ascii="微软雅黑" w:hAnsi="微软雅黑" w:eastAsia="微软雅黑"/>
          <w:b w:val="0"/>
          <w:i w:val="0"/>
          <w:color w:val="1D3B35"/>
          <w:sz w:val="22"/>
        </w:rPr>
        <w:t>附录    联系方式与资料清单</w:t>
      </w:r>
    </w:p>
    <w:p>
      <w:r>
        <w:br w:type="page"/>
      </w:r>
    </w:p>
    <w:p>
      <w:pPr>
        <w:pStyle w:val="Heading1"/>
      </w:pPr>
      <w:r>
        <w:t>第一章  保健养生连锁的四个断点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保健养生用品连锁看起来和普通零售差别不大：有门店、有货架、有会员、有收银。真正做过的人知道，这个行业有四道坎，任何一道没处理好，系统都会在半年后被打回原形。</w:t>
      </w:r>
    </w:p>
    <w:p>
      <w:pPr>
        <w:pStyle w:val="Heading2"/>
      </w:pPr>
      <w:r>
        <w:t>1.1  资质断点：批文有有效期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保健食品需要蓝帽批文，批文有批准文号、有效期与不适宜人群。很多门店用一张 Excel 记批文，靠店长记性判断能不能卖。结果是一批货批文到期了还在货架上，或者顾客属于不适宜人群却被推荐购买。前者是监管风险，后者是客诉与赔偿。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系统要解决的不是「有个地方存批文号」，而是把批文的有效期与销售动作绑定：到期自动下架、收银拦截、出库拦截，并且能追到是哪一天、谁操作的商品档案。</w:t>
      </w:r>
    </w:p>
    <w:p>
      <w:pPr>
        <w:pStyle w:val="Heading2"/>
      </w:pPr>
      <w:r>
        <w:t>1.2  客群断点：付钱的人和服用的人不是同一个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保健品的典型场景是子女给父母买。会员卡是子女办的，健康档案、禁忌、复购周期却应该跟着父母。如果系统只有一个会员表，所有信息都会记在付费人身上，回访时问错人，推荐时忽略老人的慢病与用药，风险极高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因此会员必须拆成账户人与使用人两层：账户人持有权益与储值，使用人承载健康档案与服用记录。一个账户可以关联多位长辈，权益按人核销，这才符合真实的家庭消费结构。</w:t>
      </w:r>
    </w:p>
    <w:p>
      <w:pPr>
        <w:pStyle w:val="Heading2"/>
      </w:pPr>
      <w:r>
        <w:t>1.3  资金断点：储值卡是负债，不是收入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储值卡是这个行业最常见的锁客手段，也是风险最高的环节。钱收在门店，总部看不到；赠金被当成收入确认，退卡时无据可依；卡余额在财务报表里没有单列，导致利润虚高。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正确的做法是把预付资金当负债管理：本金与赠金分账，资金归集总部，卡余额在报表中单列，退卡走审批并原路退款。门店只记销售业绩，不碰资金。</w:t>
      </w:r>
    </w:p>
    <w:p>
      <w:pPr>
        <w:pStyle w:val="Heading2"/>
      </w:pPr>
      <w:r>
        <w:t>1.4  渠道断点：直营、加盟、团购、代工四套账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直营看销售额，加盟看抽佣，企业客户看协议价与账期，自有品牌看批次成本。四种结算逻辑如果挤在一套通用应收应付里，月底一定靠 Excel 拼表。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系统需要把四类主体分开：加盟商是独立主体，数据范围隔离；企业客户有协议价与授信；代工有 BOM 与批次成本。分开算，才能合起来看。</w:t>
      </w:r>
    </w:p>
    <w:p>
      <w:pPr>
        <w:pStyle w:val="Heading1"/>
      </w:pPr>
      <w:r>
        <w:t>第二章  产品定位与整体结构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ChainOne 保健养生连锁 是面向保健养生用品连锁的门店与总部一体化系统。它不是通用 ERP 换一套界面，而是把上文的四个断点做成主流程：批文与效期进入商品与库存单据，使用人档案进入会员体系，储值规则进入收银与财务，加盟与代工进入独立结算模块。</w:t>
      </w:r>
    </w:p>
    <w:p>
      <w:pPr>
        <w:pStyle w:val="Heading2"/>
      </w:pPr>
      <w:r>
        <w:t>2.1  产品边界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适用：3 家门店以上的保健养生用品连锁、养生馆、健康食品加盟品牌。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不适用：只有一台收银机、只需要记账的个体小店；纯批发不碰会员与储值的贸易商。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形态：Web 端（总部与门店）+ 移动端 H5（店长、店员、关怀专员），无需安装 App。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部署：公有云独立库或客户自有服务器私有化部署，演示库与生产库完全隔离。</w:t>
      </w:r>
    </w:p>
    <w:p>
      <w:pPr>
        <w:pStyle w:val="Heading2"/>
      </w:pPr>
      <w:r>
        <w:t>2.2  十八个业务域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系统按业务域组织，而不是按「菜单」堆功能。十八个业务域分别是：门店收银与销售、会员与使用人、储值卡与预付资金、库存与效期、商品与批文、采购与供应商、仓储与物流、加盟与企业客户、财务与税务、银发关怀与合规、代工与自有品牌、会员增长与私域运营、排班与人效、积分体系、组织权限与平台配置、交期与履约、逆向处理、报表与经营驾驶舱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每个业务域下含 4—6 个功能点，合计 80 余张单据与状态流转，覆盖 14 类单据分类。完整清单见随本手册提供的 Excel 文件《ChainOne保健养生连锁-功能清单.xlsx》。</w:t>
      </w:r>
    </w:p>
    <w:p>
      <w:pPr>
        <w:pStyle w:val="Heading2"/>
      </w:pPr>
      <w:r>
        <w:t>2.3  三条贯穿全系统的红线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储值资金归集总部、60 岁以上办卡留痕、关怀话术先校验。这三条不是某个模块的选项，而是贯穿收银、会员、财务、合规的硬约束。系统不提供「一键关闭」的开关：阈值可以按门店调，留痕不能免。</w:t>
      </w:r>
    </w:p>
    <w:p>
      <w:pPr>
        <w:pStyle w:val="Heading2"/>
      </w:pPr>
      <w:r>
        <w:t>2.4  v3.3 新增能力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这一版补的是每天都发生、最容易被忽略的四个缺口，而不是增加菜单：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移动收银 H5：手机浏览器直接开单，商品搜索、购物车、会员、组合支付与提交复用 PC 收银的同一套服务，高峰期加设备不用加钱。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数据大屏：一屏铺满、自动刷新，门店排行、储值负债、临期批次与异常单据都可点进明细，总部例会直接投屏使用。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会员增长：积分、等级、储值、关怀四套机制联动，系统每天生成「该联系谁、该推什么」的执行清单，并可按渠道、门店、导购归因。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批量导入：商品、会员、期初库存、员工、门店、企业客户等 10+ 模块提供标准模板，导入前字段校验，错误行可下载修正，导入批次全程留痕。</w:t>
      </w:r>
    </w:p>
    <w:p>
      <w:pPr>
        <w:pStyle w:val="Heading1"/>
      </w:pPr>
      <w:r>
        <w:t>第三章  门店端：收银、会员与使用人</w:t>
      </w:r>
    </w:p>
    <w:p>
      <w:pPr>
        <w:pStyle w:val="Heading2"/>
      </w:pPr>
      <w:r>
        <w:t>3.1  收银台是数据源头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门店一天的经营数据，八成从收银台产生。系统把收银做成一条尽量短的路径：扫码或搜索加购，会员一刷即出等级、积分、储值余额与使用人健康提示，支付支持储值卡、现金、线上混合，完成后自动生成销售单与积分流水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退货分整单退货、部分退货与无单退货。前两者店员可操作，无单退货必须店长授权并填写原因。所有退货都进审计日志，防止「退货套现」这类内部损耗。</w:t>
      </w:r>
    </w:p>
    <w:p>
      <w:pPr>
        <w:pStyle w:val="Heading2"/>
      </w:pPr>
      <w:r>
        <w:t>3.2  账户人与使用人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会员建档分两层：账户人记录手机号、等级、权益、储值余额；使用人记录姓名、年龄、过敏史、慢病、用药、禁忌与服用周期。一个账户可关联多位使用人，权益按人核销。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健康档案字段不追求多，而追求「用得上」：过敏史用于推荐拦截，慢病与用药用于话术提醒，服用周期用于复购与回访排期。字段随便堆，店員就一定会乱填。</w:t>
      </w:r>
    </w:p>
    <w:p>
      <w:pPr>
        <w:pStyle w:val="Heading2"/>
      </w:pPr>
      <w:r>
        <w:t>3.3  交接班与日结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现金、储值卡、线上三种支付分开对账，交接班时记录备用金、实收、差异与原因。日结生成门店日报，同步到总部驾驶舱。差异不需要「抹平」，需要留下原因和责任人。</w:t>
      </w:r>
    </w:p>
    <w:p>
      <w:pPr>
        <w:pStyle w:val="Heading1"/>
      </w:pPr>
      <w:r>
        <w:t>第四章  资金：储值卡与预付合规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储值卡的本质是预付负债。系统按「收进来的是负债、消费了才是收入」来设计，而不是把充值直接当销售。</w:t>
      </w:r>
    </w:p>
    <w:p>
      <w:pPr>
        <w:pStyle w:val="Heading2"/>
      </w:pPr>
      <w:r>
        <w:t>4.1  本金与赠金分账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每次充值拆成本金与赠金两笔：本金可退，赠金不可退、不折现、不转赠。消费时按预设顺序扣减（通常先赠金后本金，可按企业政策配置）。退卡时只退本金余额，赠金部分清零，规则写进单据而不是口头约定。</w:t>
      </w:r>
    </w:p>
    <w:p>
      <w:pPr>
        <w:pStyle w:val="Heading2"/>
      </w:pPr>
      <w:r>
        <w:t>4.2  资金归集与卡范围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门店只做销售动作，资金进入总部账户。卡可以设置可用范围：全司通用、指定门店、指定商品或指定服务。跨店消费产生的结算，由总部在后台按规则分摊，门店不需要私下转账。</w:t>
      </w:r>
    </w:p>
    <w:p>
      <w:pPr>
        <w:pStyle w:val="Heading2"/>
      </w:pPr>
      <w:r>
        <w:t>4.3  60 岁以上办卡的三道闸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第一道是识别：系统按身份证年龄标记银发客群。第二道是预警：单笔大额（默认 5000 元）、30 天内高频（默认 3 次）、同一导购同日集中办卡，触发预警。第三道是留痕：必须上传知情件、登记家属关系、由第二人审批，才允许完成充值。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这套机制既保护顾客，也保护门店与导购。真出纠纷时，能拿出当时的知情件、审批人与话术记录。</w:t>
      </w:r>
    </w:p>
    <w:p>
      <w:pPr>
        <w:pStyle w:val="Heading2"/>
      </w:pPr>
      <w:r>
        <w:t>4.4  财务口径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储值余额、赠金余额、待核销权益在报表中单列，作为预付负债披露。消费确认收入时按实际扣减金额入账，赠金部分按营销费用处理。财务不再需要每月手工拆分。</w:t>
      </w:r>
    </w:p>
    <w:p>
      <w:pPr>
        <w:pStyle w:val="Heading1"/>
      </w:pPr>
      <w:r>
        <w:t>第五章  商品：批文、效期与批次</w:t>
      </w:r>
    </w:p>
    <w:p>
      <w:pPr>
        <w:pStyle w:val="Heading2"/>
      </w:pPr>
      <w:r>
        <w:t>5.1  批文进商品档案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每个保健食品 SKU 登记蓝帽批文号、批准日期、有效期与不适宜人群。批文到期前 60 天提醒商品管理，到期当天自动下架，收银与出库双重拦截。批文变更保留历史版本，便于追溯某段时间内销售的商品资质状态。</w:t>
      </w:r>
    </w:p>
    <w:p>
      <w:pPr>
        <w:pStyle w:val="Heading2"/>
      </w:pPr>
      <w:r>
        <w:t>5.2  批次与效期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库存按批次记账：生产日期、有效期、批号、供应商、收货单。系统默认 90 / 60 / 30 天三级临期预警，生成处理任务派到店长：促销、调拨、退供或报损。过期批次自动锁仓，任何出库动作都会被拒绝。</w:t>
      </w:r>
    </w:p>
    <w:p>
      <w:pPr>
        <w:pStyle w:val="Heading2"/>
      </w:pPr>
      <w:r>
        <w:t>5.3  成本与追溯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入库成本与批次绑定，销售出库按批次结转，毛利可以算到每一瓶。质量问题时，从批号能反查到收货单、供应商、质检记录与留样，责任判定不靠回忆。</w:t>
      </w:r>
    </w:p>
    <w:p>
      <w:pPr>
        <w:pStyle w:val="Heading2"/>
      </w:pPr>
      <w:r>
        <w:t>5.4  价格体系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零售价、会员价、加盟价、企业协议价四套价格并存，系统做冲突检测：加盟价低于零售价、协议价低于成本价时会提示。价格调整需要审批，调整前后的价格与生效时间都留档。</w:t>
      </w:r>
    </w:p>
    <w:p>
      <w:pPr>
        <w:pStyle w:val="Heading1"/>
      </w:pPr>
      <w:r>
        <w:t>第六章  总部：加盟、企业客户与结算</w:t>
      </w:r>
    </w:p>
    <w:p>
      <w:pPr>
        <w:pStyle w:val="Heading2"/>
      </w:pPr>
      <w:r>
        <w:t>6.1  加盟体系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加盟商是独立经营主体，系统为其建立独立档案：签约信息、抽佣或分成规则、结算周期、要货权限。加盟商登录后只看本主体数据，看不到总部成本与其他加盟商。月度结算单自动生成，包含销售额、应结金额、扣款项与发票信息。</w:t>
      </w:r>
    </w:p>
    <w:p>
      <w:pPr>
        <w:pStyle w:val="Heading2"/>
      </w:pPr>
      <w:r>
        <w:t>6.2  企业客户与团购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企业客户有协议价、授信额度与账期。团购订单支持多个收货点、分批配送与按点签收。月度对账单按订单与签收记录生成，发票与回款状态同步更新，超授信下单直接拦截。</w:t>
      </w:r>
    </w:p>
    <w:p>
      <w:pPr>
        <w:pStyle w:val="Heading2"/>
      </w:pPr>
      <w:r>
        <w:t>6.3  总部驾驶舱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驾驶舱默认只放能立刻动作的指标：今日销售、门店排行、临期批次、异常卡、超时回访。每个指标都可以点进去看明细，直到单据与操作日志。报表的价值不在于多，而在于能追到根数据。</w:t>
      </w:r>
    </w:p>
    <w:p>
      <w:pPr>
        <w:pStyle w:val="Heading1"/>
      </w:pPr>
      <w:r>
        <w:t>第七章  供应链与代工自有品牌</w:t>
      </w:r>
    </w:p>
    <w:p>
      <w:pPr>
        <w:pStyle w:val="Heading2"/>
      </w:pPr>
      <w:r>
        <w:t>7.1  采购与供应商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采购申请、订单、收货、退货闭环管理。供应商建档包含资质、生产许可、账期、起订量与评级；到货及时率与质量合格率自动统计。采购价格与历史价格形成曲线，避免同一物料反复议价。</w:t>
      </w:r>
    </w:p>
    <w:p>
      <w:pPr>
        <w:pStyle w:val="Heading2"/>
      </w:pPr>
      <w:r>
        <w:t>7.2  代工与自有品牌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代工模块围绕「配方—生产—质检—入库—结算」设计：工厂资质与验厂记录决定能否下单；BOM 与领料核算包材与损耗；生产进度与质检记录绑定批次；成品入库后按批次结算成本。异常（含量不达标、包装错误、延期）登记后判定责任并进入索赔流程。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自有品牌的毛利分析按批次展开，能看到每一批的实际成本与售价差，而不是用平均成本糊过去。</w:t>
      </w:r>
    </w:p>
    <w:p>
      <w:pPr>
        <w:pStyle w:val="Heading2"/>
      </w:pPr>
      <w:r>
        <w:t>7.3  仓储与物流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总部仓与门店仓分开记账，调拨、要货、报损各自成单。运输单关联承运商与时效承诺，异常件、破损、索赔有独立流程，签收支持照片或电子签收。运费按门店或主体分摊，月底进入结算。</w:t>
      </w:r>
    </w:p>
    <w:p>
      <w:pPr>
        <w:pStyle w:val="Heading1"/>
      </w:pPr>
      <w:r>
        <w:t>第八章  合规、权限与审计</w:t>
      </w:r>
    </w:p>
    <w:p>
      <w:pPr>
        <w:pStyle w:val="Heading2"/>
      </w:pPr>
      <w:r>
        <w:t>8.1  五级数据范围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总部、大区、门店、加盟、个人五级数据范围。数据范围决定看哪些行，能力点决定能做哪些动作，两者组合成角色。系统预置十类角色，企业可在此基础上微调。</w:t>
      </w:r>
    </w:p>
    <w:p>
      <w:pPr>
        <w:pStyle w:val="Heading2"/>
      </w:pPr>
      <w:r>
        <w:t>8.2  审计日志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登录、建档、改价、退货、退卡、审批、导出、打印全部写入审计日志，记录操作人、时间、IP 与修改前后的值。日志可按人、单据、时间检索，也可导出给审计方。默认保留三年，可按企业要求延长。</w:t>
      </w:r>
    </w:p>
    <w:p>
      <w:pPr>
        <w:pStyle w:val="Heading2"/>
      </w:pPr>
      <w:r>
        <w:t>8.3  话术校验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关怀任务的话术模板按版本管理。发送或拨号前经过违规词库校验：不得诊断疾病、不得承诺疗效、不得建议停药、不得使用绝对化用语。命中即拒绝保存，人工复核后才可放行，复核记录一并留档。</w:t>
      </w:r>
    </w:p>
    <w:p>
      <w:pPr>
        <w:pStyle w:val="Heading2"/>
      </w:pPr>
      <w:r>
        <w:t>8.4  数据安全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手机号等敏感字段默认脱敏展示，导出需审批并记录用途。数据库按租户隔离，每日全量备份加增量备份，保留期可配置；每季度做一次恢复演练并出报告。数据字典与接口开放，合同期内客户可随时导出全部数据。</w:t>
      </w:r>
    </w:p>
    <w:p>
      <w:pPr>
        <w:pStyle w:val="Heading1"/>
      </w:pPr>
      <w:r>
        <w:t>第九章  实施方法与服务边界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标准实施 14 天，分四个阶段。我们的经验是：先把收银—会员—库存—结算这条主线跑通，再补加盟与代工。一次性全模块上线，往往以「上线即停用」收场。</w:t>
      </w:r>
    </w:p>
    <w:p>
      <w:pPr>
        <w:pStyle w:val="Heading3"/>
      </w:pPr>
      <w:r>
        <w:t>建档与权限（第 1—3 天）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0"/>
        </w:rPr>
        <w:t>客户投入：项目负责人、财务口径对接人。交付物：商品与批文档案、门店与角色、权限矩阵、价格体系、历史数据模板。</w:t>
      </w:r>
    </w:p>
    <w:p>
      <w:pPr>
        <w:pStyle w:val="Heading3"/>
      </w:pPr>
      <w:r>
        <w:t>试跑与对账（第 4—7 天）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0"/>
        </w:rPr>
        <w:t>客户投入：1 家试点门店、财务。交付物：试跑差异表、库存与储值期初余额确认单。</w:t>
      </w:r>
    </w:p>
    <w:p>
      <w:pPr>
        <w:pStyle w:val="Heading3"/>
      </w:pPr>
      <w:r>
        <w:t>门店并行（第 8—12 天）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0"/>
        </w:rPr>
        <w:t>客户投入：各店店长、店员。交付物：培训记录、操作手册、考试结果、并行问题清单。</w:t>
      </w:r>
    </w:p>
    <w:p>
      <w:pPr>
        <w:pStyle w:val="Heading3"/>
      </w:pPr>
      <w:r>
        <w:t>切换与复盘（第 13—14 天）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0"/>
        </w:rPr>
        <w:t>客户投入：项目负责人、运营。交付物：上线报告、日结切换记录、异常处理机制、两周经营复盘。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复杂加盟体系约增加 5 个工作日，代工模块约增加 7 个工作日。上线后提供一年运维，含版本升级、问题响应与季度回访；私有化部署的运维范围以合同约定为准。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报价按门店数量、模块范围与部署方式组合，含实施、培训与一年运维。门店硬件、历史数据清洗、客户自建服务器与第三方改造费用不含在内，需单列。</w:t>
      </w:r>
    </w:p>
    <w:p>
      <w:pPr>
        <w:pStyle w:val="Heading1"/>
      </w:pPr>
      <w:r>
        <w:t>第十章  常见问题</w:t>
      </w:r>
    </w:p>
    <w:p>
      <w:pPr>
        <w:pStyle w:val="Heading3"/>
      </w:pPr>
      <w:r>
        <w:t>这套系统适合多大规模的门店？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单店到 200 家门店都用同一套：门店端只看本店数据，总部看全公司，加盟商只看自己主体。单店可以只开门店收银 + 会员 + 库存，多店再加总部调拨、加盟分账与企业客户，不需要换系统。</w:t>
      </w:r>
    </w:p>
    <w:p>
      <w:pPr>
        <w:pStyle w:val="Heading3"/>
      </w:pPr>
      <w:r>
        <w:t>保健品的蓝帽批文和效期怎么管？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商品档案里登记批文号、批文有效期与不适宜人群，批文到期自动下架并拦截销售；库存按批次记生产日期与有效期，90 天临期预警，过期批次锁定不出库，出库必须选批次，追溯能回到供应商与收货单。</w:t>
      </w:r>
    </w:p>
    <w:p>
      <w:pPr>
        <w:pStyle w:val="Heading3"/>
      </w:pPr>
      <w:r>
        <w:t>老年人办储值卡，系统怎么保证合规？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三条硬规则：储值资金全部归集总部，门店不沉淀；60 岁以上大额、高频、集中办卡触发预警，需知情件留存与双人审批；关怀话术先校验再保存，出现诊断、疗效承诺等违规词直接拒绝。每一步都有操作人与时间留痕。</w:t>
      </w:r>
    </w:p>
    <w:p>
      <w:pPr>
        <w:pStyle w:val="Heading3"/>
      </w:pPr>
      <w:r>
        <w:t>能不能对接现有的收银、财务或电商？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可以。系统提供 HTTP 接口与数据字典配置，商品、会员、库存、订单、发票都能对接；财务侧导出标准凭证与发票台账，电商订单可回流到统一库存，避免超卖。接口地址、密钥、字段映射在系统设置里配置，不用改代码。</w:t>
      </w:r>
    </w:p>
    <w:p>
      <w:pPr>
        <w:pStyle w:val="Heading3"/>
      </w:pPr>
      <w:r>
        <w:t>部署方式和上线周期是怎样的？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支持公有云独立库与私有化部署两种。标准实施 14 天：第 1—3 天建档与权限，第 4—7 天历史数据导入与试跑，第 8—12 天门店并行，第 13—14 天切换与培训。复杂加盟体系或代工模块另计。</w:t>
      </w:r>
    </w:p>
    <w:p>
      <w:pPr>
        <w:pStyle w:val="Heading3"/>
      </w:pPr>
      <w:r>
        <w:t>演示账号怎么拿？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在线演示地址 https://p.zerocod.cn/shop-baojianpin/erp/ ，账号 admin / 123456（演示环境，数据每日重置）。需要按自己的门店结构走一遍，可加企业微信或致电 18016313342 预约 15 分钟演示。</w:t>
      </w:r>
    </w:p>
    <w:p>
      <w:pPr>
        <w:pStyle w:val="Heading3"/>
      </w:pPr>
      <w:r>
        <w:t>支持加盟体系和多个经营主体吗？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支持。总部、大区、门店、加盟商与个人五级数据范围，加盟结算按抽佣或分成规则出账，价格体系分零售价、会员价、加盟价与企业协议价，主体之间的往来单独对账。</w:t>
      </w:r>
    </w:p>
    <w:p>
      <w:pPr>
        <w:pStyle w:val="Heading3"/>
      </w:pPr>
      <w:r>
        <w:t>数据能导出去吗？会不会被锁死？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所有列表支持导出 CSV，商品、会员、库存、单据可批量导出；系统提供完整数据字典与接口，合同期内可随时导出。我们不靠锁数据做生意。</w:t>
      </w:r>
    </w:p>
    <w:p>
      <w:pPr>
        <w:pStyle w:val="Heading3"/>
      </w:pPr>
      <w:r>
        <w:t>有没有数据大屏和手机开单？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有。数据大屏一屏铺满、自动刷新，门店排行、储值负债、临期与异常都能点进明细；移动收银 H5 在手机浏览器直接开单，商品、会员、组合支付与 PC 收银共用一套逻辑，不需要安装 App。</w:t>
      </w:r>
    </w:p>
    <w:p>
      <w:pPr>
        <w:pStyle w:val="Heading3"/>
      </w:pPr>
      <w:r>
        <w:t>历史数据怎么迁进来？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商品、会员、库存期初、员工、门店、企业客户等 10+ 模块提供标准模板，导入前做字段校验，错误行可下载修正；复杂的储值卡余额与批次库存由实施顾问协助核对后导入，导入批次与操作人全程留痕。</w:t>
      </w:r>
    </w:p>
    <w:p>
      <w:pPr>
        <w:pStyle w:val="Heading3"/>
      </w:pPr>
      <w:r>
        <w:t>顾客退货、换货、供应商退货在系统里怎么做？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统一在「逆向处理中心」发起：销售退货按原单冲回库存、储值卡本金/赠金、积分与导购业绩；换货先退后买，生成换货销售单并当场结差价；采购退货与到货差异冲减供应商应付；调拨拒收把在途退回原仓；未出库的调拨可直接作废。每张单都有草稿、审批、执行、结案四道状态，执行前可撤，执行后留痕。</w:t>
      </w:r>
    </w:p>
    <w:p>
      <w:pPr>
        <w:pStyle w:val="Heading3"/>
      </w:pPr>
      <w:r>
        <w:t>「距交货期」在哪里看？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「交期与履约」把采购到货、代工交付、团购、调拨到仓、运输签收、顾客承诺六类交期放在一张看板：逾期、今日到期、3 天内、7 天内分级，准时率按实际交付不晚于承诺日计算。销售单、采购单、调拨单列表也直接显示倒计时标记，点进去就是原单。</w:t>
      </w:r>
    </w:p>
    <w:p>
      <w:pPr>
        <w:pStyle w:val="Heading1"/>
      </w:pPr>
      <w:r>
        <w:t>附录  联系方式与资料清单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电话：400-678-7857 / 18016313342（微信同号）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邮箱：cooper@micount.cn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官网：https://p.zerocod.cn/shop-baojianpin/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在线演示：https://p.zerocod.cn/shop-baojianpin/erp/（账号 admin / 123456，演示数据每日重置）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上海：上海市静安区汉水路 380 号（融创园区）B03 栋</w:t>
      </w:r>
    </w:p>
    <w:p>
      <w:pPr>
        <w:spacing w:after="120"/>
      </w:pPr>
      <w:r>
        <w:rPr>
          <w:rFonts w:ascii="微软雅黑" w:hAnsi="微软雅黑" w:eastAsia="微软雅黑"/>
          <w:b w:val="0"/>
          <w:i w:val="0"/>
          <w:color w:val="1D3B35"/>
          <w:sz w:val="21"/>
        </w:rPr>
        <w:t>深圳：深圳市坪山区龙光玖云著 1-1931 号</w:t>
      </w:r>
    </w:p>
    <w:p>
      <w:pPr>
        <w:pStyle w:val="Heading2"/>
      </w:pPr>
      <w:r>
        <w:t>随附资料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《ChainOne保健养生连锁-功能清单.xlsx》：18 个业务域、80+ 单据、十类角色权限、实施清单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《ChainOne保健养生连锁-方案介绍.pptx》：16 页方案介绍，适合内部立项与客户汇报</w:t>
      </w:r>
    </w:p>
    <w:p>
      <w:pPr>
        <w:pStyle w:val="ListBullet"/>
        <w:spacing w:after="40" w:line="360" w:lineRule="auto"/>
      </w:pPr>
      <w:r>
        <w:rPr>
          <w:rFonts w:ascii="微软雅黑" w:hAnsi="微软雅黑" w:eastAsia="微软雅黑"/>
          <w:color w:val="1D3B35"/>
          <w:sz w:val="21"/>
        </w:rPr>
        <w:t>官网下载中心：https://p.zerocod.cn/shop-baojianpin/downloads/</w:t>
      </w:r>
    </w:p>
    <w:sectPr w:rsidR="00FC693F" w:rsidRPr="0006063C" w:rsidSect="00034616">
      <w:pgSz w:w="12240" w:h="15840"/>
      <w:pgMar w:top="1361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72" w:lineRule="auto" w:after="120"/>
    </w:pPr>
    <w:rPr>
      <w:rFonts w:ascii="微软雅黑" w:hAnsi="微软雅黑" w:eastAsia="微软雅黑"/>
      <w:color w:val="1D3B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0F5F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0F5F57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1D3B35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