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120"/>
      </w:pPr>
      <w:r>
        <w:rPr>
          <w:rFonts w:ascii="微软雅黑" w:hAnsi="微软雅黑" w:eastAsia="微软雅黑"/>
          <w:b/>
          <w:i w:val="0"/>
          <w:color w:val="F97316"/>
          <w:sz w:val="18"/>
        </w:rPr>
        <w:t>PRODUCT HANDBOOK / 产品宣传手册</w:t>
      </w:r>
    </w:p>
    <w:p>
      <w:pPr>
        <w:spacing w:after="40"/>
      </w:pPr>
      <w:r>
        <w:rPr>
          <w:rFonts w:ascii="微软雅黑" w:hAnsi="微软雅黑" w:eastAsia="微软雅黑"/>
          <w:b/>
          <w:i w:val="0"/>
          <w:color w:val="0A1628"/>
          <w:sz w:val="60"/>
        </w:rPr>
        <w:t>算数-电动工具</w:t>
      </w:r>
    </w:p>
    <w:p>
      <w:pPr>
        <w:spacing w:after="160"/>
      </w:pPr>
      <w:r>
        <w:rPr>
          <w:rFonts w:ascii="微软雅黑" w:hAnsi="微软雅黑" w:eastAsia="微软雅黑"/>
          <w:b/>
          <w:i w:val="0"/>
          <w:color w:val="0A1628"/>
          <w:sz w:val="60"/>
        </w:rPr>
        <w:t>工贸一体化系统</w:t>
      </w:r>
    </w:p>
    <w:p>
      <w:pPr>
        <w:spacing w:after="80"/>
      </w:pPr>
      <w:r>
        <w:rPr>
          <w:rFonts w:ascii="微软雅黑" w:hAnsi="微软雅黑" w:eastAsia="微软雅黑"/>
          <w:b w:val="0"/>
          <w:i w:val="0"/>
          <w:color w:val="F97316"/>
          <w:sz w:val="26"/>
        </w:rPr>
        <w:t>从一张海外询盘，到退税到账，跑在同一套数据上</w:t>
      </w:r>
    </w:p>
    <w:p>
      <w:pPr>
        <w:spacing w:after="200"/>
      </w:pPr>
      <w:r>
        <w:rPr>
          <w:rFonts w:ascii="微软雅黑" w:hAnsi="微软雅黑" w:eastAsia="微软雅黑"/>
          <w:b w:val="0"/>
          <w:i w:val="0"/>
          <w:color w:val="5B6678"/>
          <w:sz w:val="19"/>
        </w:rPr>
        <w:t>电动工具 / 五金工具 OEM 出口制造 · 询盘 · 报价 · 认证 · 订单 · 单证 · 出运 · 收汇 · 退税 · 车间 · 看板</w:t>
      </w:r>
    </w:p>
    <w:p>
      <w:pPr>
        <w:spacing w:before="120" w:after="40"/>
        <w:jc w:val="center"/>
      </w:pPr>
      <w:r>
        <w:drawing>
          <wp:inline xmlns:a="http://schemas.openxmlformats.org/drawingml/2006/main" xmlns:pic="http://schemas.openxmlformats.org/drawingml/2006/picture">
            <wp:extent cx="5976000" cy="398244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oc-cover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982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微软雅黑" w:hAnsi="微软雅黑" w:eastAsia="微软雅黑"/>
          <w:b w:val="0"/>
          <w:i w:val="0"/>
          <w:color w:val="5B6678"/>
          <w:sz w:val="17"/>
        </w:rPr>
        <w:t>装配车间实拍：工贸一体企业的日常，也是这套系统每天在跑的业务现场</w:t>
      </w:r>
    </w:p>
    <w:p>
      <w:pPr>
        <w:spacing w:before="200" w:after="40"/>
      </w:pPr>
      <w:r>
        <w:rPr>
          <w:rFonts w:ascii="微软雅黑" w:hAnsi="微软雅黑" w:eastAsia="微软雅黑"/>
          <w:b/>
          <w:i w:val="0"/>
          <w:color w:val="0A1628"/>
          <w:sz w:val="20"/>
        </w:rPr>
        <w:t>版本 V2026.11    ·    2026 年 11 月    ·    共 10 章</w:t>
      </w:r>
    </w:p>
    <w:p>
      <w:pPr>
        <w:spacing w:after="40"/>
      </w:pPr>
      <w:r>
        <w:rPr>
          <w:rFonts w:ascii="微软雅黑" w:hAnsi="微软雅黑" w:eastAsia="微软雅黑"/>
          <w:b w:val="0"/>
          <w:i w:val="0"/>
          <w:color w:val="5B6678"/>
          <w:sz w:val="18"/>
        </w:rPr>
        <w:t>算数科技 · 工贸一体化产品线    ·    https://zerocod.cn/    ·    180 1631 3342</w:t>
      </w:r>
    </w:p>
    <w:p>
      <w:r>
        <w:rPr>
          <w:rFonts w:ascii="微软雅黑" w:hAnsi="微软雅黑" w:eastAsia="微软雅黑"/>
          <w:b w:val="0"/>
          <w:i/>
          <w:color w:val="5B6678"/>
          <w:sz w:val="16"/>
        </w:rPr>
        <w:t>本手册可打印装订，也可节选作为方案或合同附件；演示租户 TOOLMAX 为虚构企业，数据不代表任何真实主体。</w:t>
      </w:r>
    </w:p>
    <w:p>
      <w:r>
        <w:br w:type="page"/>
      </w:r>
    </w:p>
    <w:p>
      <w:pPr>
        <w:spacing w:after="80"/>
      </w:pPr>
      <w:r>
        <w:rPr>
          <w:rFonts w:ascii="微软雅黑" w:hAnsi="微软雅黑" w:eastAsia="微软雅黑"/>
          <w:b/>
          <w:i w:val="0"/>
          <w:color w:val="F97316"/>
          <w:sz w:val="18"/>
        </w:rPr>
        <w:t>CONTENTS</w:t>
      </w:r>
    </w:p>
    <w:p>
      <w:pPr>
        <w:spacing w:after="280"/>
        <w:pBdr>
          <w:bottom w:val="single" w:sz="10" w:space="6" w:color="F97316"/>
        </w:pBdr>
      </w:pPr>
      <w:r>
        <w:rPr>
          <w:rFonts w:ascii="微软雅黑" w:hAnsi="微软雅黑" w:eastAsia="微软雅黑"/>
          <w:b/>
          <w:i w:val="0"/>
          <w:color w:val="0A1628"/>
          <w:sz w:val="44"/>
        </w:rPr>
        <w:t>目录</w:t>
      </w:r>
    </w:p>
    <w:p>
      <w:pPr>
        <w:tabs>
          <w:tab w:pos="680" w:val="left"/>
        </w:tabs>
        <w:spacing w:before="40" w:after="120"/>
      </w:pPr>
      <w:r>
        <w:rPr>
          <w:rFonts w:ascii="微软雅黑" w:hAnsi="微软雅黑" w:eastAsia="微软雅黑"/>
          <w:b/>
          <w:i w:val="0"/>
          <w:color w:val="F97316"/>
          <w:sz w:val="20"/>
        </w:rPr>
        <w:t>01</w:t>
        <w:tab/>
      </w:r>
      <w:r>
        <w:rPr>
          <w:rFonts w:ascii="微软雅黑" w:hAnsi="微软雅黑" w:eastAsia="微软雅黑"/>
          <w:b/>
          <w:i w:val="0"/>
          <w:color w:val="0A1628"/>
          <w:sz w:val="24"/>
        </w:rPr>
        <w:t>产品定位与适用边界</w:t>
      </w:r>
    </w:p>
    <w:p>
      <w:pPr>
        <w:spacing w:after="180"/>
        <w:ind w:left="680"/>
        <w:pBdr>
          <w:bottom w:val="single" w:sz="4" w:space="6" w:color="DCE2EC"/>
        </w:pBdr>
      </w:pPr>
      <w:r>
        <w:rPr>
          <w:rFonts w:ascii="微软雅黑" w:hAnsi="微软雅黑" w:eastAsia="微软雅黑"/>
          <w:b w:val="0"/>
          <w:i w:val="0"/>
          <w:color w:val="5B6678"/>
          <w:sz w:val="18"/>
        </w:rPr>
        <w:t>这套系统是什么、适合谁、不做什么</w:t>
      </w:r>
    </w:p>
    <w:p>
      <w:pPr>
        <w:tabs>
          <w:tab w:pos="680" w:val="left"/>
        </w:tabs>
        <w:spacing w:before="40" w:after="120"/>
      </w:pPr>
      <w:r>
        <w:rPr>
          <w:rFonts w:ascii="微软雅黑" w:hAnsi="微软雅黑" w:eastAsia="微软雅黑"/>
          <w:b/>
          <w:i w:val="0"/>
          <w:color w:val="F97316"/>
          <w:sz w:val="20"/>
        </w:rPr>
        <w:t>02</w:t>
        <w:tab/>
      </w:r>
      <w:r>
        <w:rPr>
          <w:rFonts w:ascii="微软雅黑" w:hAnsi="微软雅黑" w:eastAsia="微软雅黑"/>
          <w:b/>
          <w:i w:val="0"/>
          <w:color w:val="0A1628"/>
          <w:sz w:val="24"/>
        </w:rPr>
        <w:t>行业断点与解法</w:t>
      </w:r>
    </w:p>
    <w:p>
      <w:pPr>
        <w:spacing w:after="180"/>
        <w:ind w:left="680"/>
        <w:pBdr>
          <w:bottom w:val="single" w:sz="4" w:space="6" w:color="DCE2EC"/>
        </w:pBdr>
      </w:pPr>
      <w:r>
        <w:rPr>
          <w:rFonts w:ascii="微软雅黑" w:hAnsi="微软雅黑" w:eastAsia="微软雅黑"/>
          <w:b w:val="0"/>
          <w:i w:val="0"/>
          <w:color w:val="5B6678"/>
          <w:sz w:val="18"/>
        </w:rPr>
        <w:t>六个断点：询盘、报价、单证、车间、资金、数据</w:t>
      </w:r>
    </w:p>
    <w:p>
      <w:pPr>
        <w:tabs>
          <w:tab w:pos="680" w:val="left"/>
        </w:tabs>
        <w:spacing w:before="40" w:after="120"/>
      </w:pPr>
      <w:r>
        <w:rPr>
          <w:rFonts w:ascii="微软雅黑" w:hAnsi="微软雅黑" w:eastAsia="微软雅黑"/>
          <w:b/>
          <w:i w:val="0"/>
          <w:color w:val="F97316"/>
          <w:sz w:val="20"/>
        </w:rPr>
        <w:t>03</w:t>
        <w:tab/>
      </w:r>
      <w:r>
        <w:rPr>
          <w:rFonts w:ascii="微软雅黑" w:hAnsi="微软雅黑" w:eastAsia="微软雅黑"/>
          <w:b/>
          <w:i w:val="0"/>
          <w:color w:val="0A1628"/>
          <w:sz w:val="24"/>
        </w:rPr>
        <w:t>一条主线：从询盘到退税</w:t>
      </w:r>
    </w:p>
    <w:p>
      <w:pPr>
        <w:spacing w:after="180"/>
        <w:ind w:left="680"/>
        <w:pBdr>
          <w:bottom w:val="single" w:sz="4" w:space="6" w:color="DCE2EC"/>
        </w:pBdr>
      </w:pPr>
      <w:r>
        <w:rPr>
          <w:rFonts w:ascii="微软雅黑" w:hAnsi="微软雅黑" w:eastAsia="微软雅黑"/>
          <w:b w:val="0"/>
          <w:i w:val="0"/>
          <w:color w:val="5B6678"/>
          <w:sz w:val="18"/>
        </w:rPr>
        <w:t>十段业务、同一套主数据与单据流</w:t>
      </w:r>
    </w:p>
    <w:p>
      <w:pPr>
        <w:tabs>
          <w:tab w:pos="680" w:val="left"/>
        </w:tabs>
        <w:spacing w:before="40" w:after="120"/>
      </w:pPr>
      <w:r>
        <w:rPr>
          <w:rFonts w:ascii="微软雅黑" w:hAnsi="微软雅黑" w:eastAsia="微软雅黑"/>
          <w:b/>
          <w:i w:val="0"/>
          <w:color w:val="F97316"/>
          <w:sz w:val="20"/>
        </w:rPr>
        <w:t>04</w:t>
        <w:tab/>
      </w:r>
      <w:r>
        <w:rPr>
          <w:rFonts w:ascii="微软雅黑" w:hAnsi="微软雅黑" w:eastAsia="微软雅黑"/>
          <w:b/>
          <w:i w:val="0"/>
          <w:color w:val="0A1628"/>
          <w:sz w:val="24"/>
        </w:rPr>
        <w:t>19 大业务域功能地图</w:t>
      </w:r>
    </w:p>
    <w:p>
      <w:pPr>
        <w:spacing w:after="180"/>
        <w:ind w:left="680"/>
        <w:pBdr>
          <w:bottom w:val="single" w:sz="4" w:space="6" w:color="DCE2EC"/>
        </w:pBdr>
      </w:pPr>
      <w:r>
        <w:rPr>
          <w:rFonts w:ascii="微软雅黑" w:hAnsi="微软雅黑" w:eastAsia="微软雅黑"/>
          <w:b w:val="0"/>
          <w:i w:val="0"/>
          <w:color w:val="5B6678"/>
          <w:sz w:val="18"/>
        </w:rPr>
        <w:t>208 个入口，按岗位分组，逐条可点开</w:t>
      </w:r>
    </w:p>
    <w:p>
      <w:pPr>
        <w:tabs>
          <w:tab w:pos="680" w:val="left"/>
        </w:tabs>
        <w:spacing w:before="40" w:after="120"/>
      </w:pPr>
      <w:r>
        <w:rPr>
          <w:rFonts w:ascii="微软雅黑" w:hAnsi="微软雅黑" w:eastAsia="微软雅黑"/>
          <w:b/>
          <w:i w:val="0"/>
          <w:color w:val="F97316"/>
          <w:sz w:val="20"/>
        </w:rPr>
        <w:t>05</w:t>
        <w:tab/>
      </w:r>
      <w:r>
        <w:rPr>
          <w:rFonts w:ascii="微软雅黑" w:hAnsi="微软雅黑" w:eastAsia="微软雅黑"/>
          <w:b/>
          <w:i w:val="0"/>
          <w:color w:val="0A1628"/>
          <w:sz w:val="24"/>
        </w:rPr>
        <w:t>八个招牌动作</w:t>
      </w:r>
    </w:p>
    <w:p>
      <w:pPr>
        <w:spacing w:after="180"/>
        <w:ind w:left="680"/>
        <w:pBdr>
          <w:bottom w:val="single" w:sz="4" w:space="6" w:color="DCE2EC"/>
        </w:pBdr>
      </w:pPr>
      <w:r>
        <w:rPr>
          <w:rFonts w:ascii="微软雅黑" w:hAnsi="微软雅黑" w:eastAsia="微软雅黑"/>
          <w:b w:val="0"/>
          <w:i w:val="0"/>
          <w:color w:val="5B6678"/>
          <w:sz w:val="18"/>
        </w:rPr>
        <w:t>客户最常追问、也最容易现场验证的部分</w:t>
      </w:r>
    </w:p>
    <w:p>
      <w:pPr>
        <w:tabs>
          <w:tab w:pos="680" w:val="left"/>
        </w:tabs>
        <w:spacing w:before="40" w:after="120"/>
      </w:pPr>
      <w:r>
        <w:rPr>
          <w:rFonts w:ascii="微软雅黑" w:hAnsi="微软雅黑" w:eastAsia="微软雅黑"/>
          <w:b/>
          <w:i w:val="0"/>
          <w:color w:val="F97316"/>
          <w:sz w:val="20"/>
        </w:rPr>
        <w:t>06</w:t>
        <w:tab/>
      </w:r>
      <w:r>
        <w:rPr>
          <w:rFonts w:ascii="微软雅黑" w:hAnsi="微软雅黑" w:eastAsia="微软雅黑"/>
          <w:b/>
          <w:i w:val="0"/>
          <w:color w:val="0A1628"/>
          <w:sz w:val="24"/>
        </w:rPr>
        <w:t>单证一致性校验</w:t>
      </w:r>
    </w:p>
    <w:p>
      <w:pPr>
        <w:spacing w:after="180"/>
        <w:ind w:left="680"/>
        <w:pBdr>
          <w:bottom w:val="single" w:sz="4" w:space="6" w:color="DCE2EC"/>
        </w:pBdr>
      </w:pPr>
      <w:r>
        <w:rPr>
          <w:rFonts w:ascii="微软雅黑" w:hAnsi="微软雅黑" w:eastAsia="微软雅黑"/>
          <w:b w:val="0"/>
          <w:i w:val="0"/>
          <w:color w:val="5B6678"/>
          <w:sz w:val="18"/>
        </w:rPr>
        <w:t>8 类单证、25 条规则、阻断与预警</w:t>
      </w:r>
    </w:p>
    <w:p>
      <w:pPr>
        <w:tabs>
          <w:tab w:pos="680" w:val="left"/>
        </w:tabs>
        <w:spacing w:before="40" w:after="120"/>
      </w:pPr>
      <w:r>
        <w:rPr>
          <w:rFonts w:ascii="微软雅黑" w:hAnsi="微软雅黑" w:eastAsia="微软雅黑"/>
          <w:b/>
          <w:i w:val="0"/>
          <w:color w:val="F97316"/>
          <w:sz w:val="20"/>
        </w:rPr>
        <w:t>07</w:t>
        <w:tab/>
      </w:r>
      <w:r>
        <w:rPr>
          <w:rFonts w:ascii="微软雅黑" w:hAnsi="微软雅黑" w:eastAsia="微软雅黑"/>
          <w:b/>
          <w:i w:val="0"/>
          <w:color w:val="0A1628"/>
          <w:sz w:val="24"/>
        </w:rPr>
        <w:t>AI 智能中心</w:t>
      </w:r>
    </w:p>
    <w:p>
      <w:pPr>
        <w:spacing w:after="180"/>
        <w:ind w:left="680"/>
        <w:pBdr>
          <w:bottom w:val="single" w:sz="4" w:space="6" w:color="DCE2EC"/>
        </w:pBdr>
      </w:pPr>
      <w:r>
        <w:rPr>
          <w:rFonts w:ascii="微软雅黑" w:hAnsi="微软雅黑" w:eastAsia="微软雅黑"/>
          <w:b w:val="0"/>
          <w:i w:val="0"/>
          <w:color w:val="5B6678"/>
          <w:sz w:val="18"/>
        </w:rPr>
        <w:t>12 项能力、10 项已上线、全部人在回路</w:t>
      </w:r>
    </w:p>
    <w:p>
      <w:pPr>
        <w:tabs>
          <w:tab w:pos="680" w:val="left"/>
        </w:tabs>
        <w:spacing w:before="40" w:after="120"/>
      </w:pPr>
      <w:r>
        <w:rPr>
          <w:rFonts w:ascii="微软雅黑" w:hAnsi="微软雅黑" w:eastAsia="微软雅黑"/>
          <w:b/>
          <w:i w:val="0"/>
          <w:color w:val="F97316"/>
          <w:sz w:val="20"/>
        </w:rPr>
        <w:t>08</w:t>
        <w:tab/>
      </w:r>
      <w:r>
        <w:rPr>
          <w:rFonts w:ascii="微软雅黑" w:hAnsi="微软雅黑" w:eastAsia="微软雅黑"/>
          <w:b/>
          <w:i w:val="0"/>
          <w:color w:val="0A1628"/>
          <w:sz w:val="24"/>
        </w:rPr>
        <w:t>终端、权限与数据安全</w:t>
      </w:r>
    </w:p>
    <w:p>
      <w:pPr>
        <w:spacing w:after="180"/>
        <w:ind w:left="680"/>
        <w:pBdr>
          <w:bottom w:val="single" w:sz="4" w:space="6" w:color="DCE2EC"/>
        </w:pBdr>
      </w:pPr>
      <w:r>
        <w:rPr>
          <w:rFonts w:ascii="微软雅黑" w:hAnsi="微软雅黑" w:eastAsia="微软雅黑"/>
          <w:b w:val="0"/>
          <w:i w:val="0"/>
          <w:color w:val="5B6678"/>
          <w:sz w:val="18"/>
        </w:rPr>
        <w:t>五类终端、三层授权、696 格权限</w:t>
      </w:r>
    </w:p>
    <w:p>
      <w:pPr>
        <w:tabs>
          <w:tab w:pos="680" w:val="left"/>
        </w:tabs>
        <w:spacing w:before="40" w:after="120"/>
      </w:pPr>
      <w:r>
        <w:rPr>
          <w:rFonts w:ascii="微软雅黑" w:hAnsi="微软雅黑" w:eastAsia="微软雅黑"/>
          <w:b/>
          <w:i w:val="0"/>
          <w:color w:val="F97316"/>
          <w:sz w:val="20"/>
        </w:rPr>
        <w:t>09</w:t>
        <w:tab/>
      </w:r>
      <w:r>
        <w:rPr>
          <w:rFonts w:ascii="微软雅黑" w:hAnsi="微软雅黑" w:eastAsia="微软雅黑"/>
          <w:b/>
          <w:i w:val="0"/>
          <w:color w:val="0A1628"/>
          <w:sz w:val="24"/>
        </w:rPr>
        <w:t>实施交付与服务承诺</w:t>
      </w:r>
    </w:p>
    <w:p>
      <w:pPr>
        <w:spacing w:after="180"/>
        <w:ind w:left="680"/>
        <w:pBdr>
          <w:bottom w:val="single" w:sz="4" w:space="6" w:color="DCE2EC"/>
        </w:pBdr>
      </w:pPr>
      <w:r>
        <w:rPr>
          <w:rFonts w:ascii="微软雅黑" w:hAnsi="微软雅黑" w:eastAsia="微软雅黑"/>
          <w:b w:val="0"/>
          <w:i w:val="0"/>
          <w:color w:val="5B6678"/>
          <w:sz w:val="18"/>
        </w:rPr>
        <w:t>四阶段节奏、服务边界与验收口径</w:t>
      </w:r>
    </w:p>
    <w:p>
      <w:pPr>
        <w:tabs>
          <w:tab w:pos="680" w:val="left"/>
        </w:tabs>
        <w:spacing w:before="40" w:after="120"/>
      </w:pPr>
      <w:r>
        <w:rPr>
          <w:rFonts w:ascii="微软雅黑" w:hAnsi="微软雅黑" w:eastAsia="微软雅黑"/>
          <w:b/>
          <w:i w:val="0"/>
          <w:color w:val="F97316"/>
          <w:sz w:val="20"/>
        </w:rPr>
        <w:t>10</w:t>
        <w:tab/>
      </w:r>
      <w:r>
        <w:rPr>
          <w:rFonts w:ascii="微软雅黑" w:hAnsi="微软雅黑" w:eastAsia="微软雅黑"/>
          <w:b/>
          <w:i w:val="0"/>
          <w:color w:val="0A1628"/>
          <w:sz w:val="24"/>
        </w:rPr>
        <w:t>术语表与资料索引</w:t>
      </w:r>
    </w:p>
    <w:p>
      <w:pPr>
        <w:spacing w:after="180"/>
        <w:ind w:left="680"/>
        <w:pBdr>
          <w:bottom w:val="single" w:sz="4" w:space="6" w:color="DCE2EC"/>
        </w:pBdr>
      </w:pPr>
      <w:r>
        <w:rPr>
          <w:rFonts w:ascii="微软雅黑" w:hAnsi="微软雅黑" w:eastAsia="微软雅黑"/>
          <w:b w:val="0"/>
          <w:i w:val="0"/>
          <w:color w:val="5B6678"/>
          <w:sz w:val="18"/>
        </w:rPr>
        <w:t>12 个术语、演示账号、下载入口</w:t>
      </w:r>
    </w:p>
    <w:p>
      <w:pPr>
        <w:pageBreakBefore/>
        <w:spacing w:before="40" w:after="40"/>
      </w:pPr>
      <w:r>
        <w:rPr>
          <w:rFonts w:ascii="微软雅黑" w:hAnsi="微软雅黑" w:eastAsia="微软雅黑"/>
          <w:b/>
          <w:i w:val="0"/>
          <w:color w:val="F97316"/>
          <w:sz w:val="17"/>
        </w:rPr>
        <w:t>CHAPTER 01  POSITIONING</w:t>
      </w:r>
    </w:p>
    <w:p>
      <w:pPr>
        <w:spacing w:before="40" w:after="200"/>
        <w:pBdr>
          <w:bottom w:val="single" w:sz="10" w:space="6" w:color="F97316"/>
        </w:pBdr>
      </w:pPr>
      <w:r>
        <w:rPr>
          <w:rFonts w:ascii="微软雅黑" w:hAnsi="微软雅黑" w:eastAsia="微软雅黑"/>
          <w:b/>
          <w:i w:val="0"/>
          <w:color w:val="0A1628"/>
          <w:sz w:val="40"/>
        </w:rPr>
        <w:t>产品定位与适用边界</w:t>
      </w:r>
    </w:p>
    <w:p>
      <w:pPr>
        <w:spacing w:before="0" w:after="140" w:line="348" w:lineRule="auto"/>
        <w:jc w:val="both"/>
      </w:pPr>
      <w:r>
        <w:rPr>
          <w:rFonts w:ascii="微软雅黑" w:hAnsi="微软雅黑" w:eastAsia="微软雅黑"/>
          <w:b w:val="0"/>
          <w:i w:val="0"/>
          <w:color w:val="1B2432"/>
          <w:sz w:val="21"/>
        </w:rPr>
        <w:t>算数-电动工具工贸一体化系统，是为「既做贸易、又自建车间」的电动工具与五金工具出口制造企业准备的一套业务系统。它不按财务软件的方式组织功能，也不按单一外贸 ERP 的方式只盯订单与单证，而是把报价、认证、订单、单证、出运、收汇、退税、采购、计划、工单、报工、仓储、质量与看板放在同一条业务主线上，共用一份客户、机型、SKU、BOM 与权限。</w:t>
      </w:r>
    </w:p>
    <w:p>
      <w:pPr>
        <w:spacing w:before="0" w:after="140" w:line="348" w:lineRule="auto"/>
        <w:jc w:val="both"/>
      </w:pPr>
      <w:r>
        <w:rPr>
          <w:rFonts w:ascii="微软雅黑" w:hAnsi="微软雅黑" w:eastAsia="微软雅黑"/>
          <w:b w:val="0"/>
          <w:i w:val="0"/>
          <w:color w:val="1B2432"/>
          <w:sz w:val="21"/>
        </w:rPr>
        <w:t>一句话：从一张海外询盘，到退税到账，跑在同一套数据上。</w:t>
      </w:r>
    </w:p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0A1628"/>
          <w:sz w:val="26"/>
        </w:rPr>
        <w:t>1.1 适合什么样的企业</w:t>
      </w:r>
    </w:p>
    <w:tbl>
      <w:tblPr>
        <w:tblW w:type="dxa" w:w="9412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CE2EC"/>
          <w:left w:val="single" w:sz="4" w:space="0" w:color="DCE2EC"/>
          <w:bottom w:val="single" w:sz="4" w:space="0" w:color="DCE2EC"/>
          <w:right w:val="single" w:sz="4" w:space="0" w:color="DCE2EC"/>
          <w:insideH w:val="single" w:sz="4" w:space="0" w:color="DCE2EC"/>
          <w:insideV w:val="single" w:sz="4" w:space="0" w:color="DCE2EC"/>
        </w:tblBorders>
        <w:tblCellMar>
          <w:top w:w="40" w:type="dxa"/>
          <w:bottom w:w="40" w:type="dxa"/>
          <w:left w:w="90" w:type="dxa"/>
          <w:right w:w="90" w:type="dxa"/>
        </w:tblCellMar>
      </w:tblPr>
      <w:tblGrid>
        <w:gridCol w:w="2494"/>
        <w:gridCol w:w="4082"/>
        <w:gridCol w:w="2835"/>
      </w:tblGrid>
      <w:tr>
        <w:trPr>
          <w:tblHeader w:val="true"/>
        </w:trPr>
        <w:tc>
          <w:tcPr>
            <w:tcW w:type="dxa" w:w="2494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企业类型</w:t>
            </w:r>
          </w:p>
        </w:tc>
        <w:tc>
          <w:tcPr>
            <w:tcW w:type="dxa" w:w="4082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典型特征</w:t>
            </w:r>
          </w:p>
        </w:tc>
        <w:tc>
          <w:tcPr>
            <w:tcW w:type="dxa" w:w="2835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建议先上</w:t>
            </w:r>
          </w:p>
        </w:tc>
      </w:tr>
      <w:tr>
        <w:trPr>
          <w:cantSplit w:val="true"/>
        </w:trPr>
        <w:tc>
          <w:tcPr>
            <w:tcW w:type="dxa" w:w="2494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7"/>
              </w:rPr>
              <w:t>电动工具 OEM / ODM 工厂</w:t>
            </w:r>
          </w:p>
        </w:tc>
        <w:tc>
          <w:tcPr>
            <w:tcW w:type="dxa" w:w="4082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多机型、多认证、多市场；自建装配与注塑车间；单证与退税量大</w:t>
            </w:r>
          </w:p>
        </w:tc>
        <w:tc>
          <w:tcPr>
            <w:tcW w:type="dxa" w:w="2835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贸易 + 单证 + 财务 + 生产 + 仓储质量</w:t>
            </w:r>
          </w:p>
        </w:tc>
      </w:tr>
      <w:tr>
        <w:trPr>
          <w:cantSplit w:val="true"/>
        </w:trPr>
        <w:tc>
          <w:tcPr>
            <w:tcW w:type="dxa" w:w="2494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7"/>
              </w:rPr>
              <w:t>工贸一体出口企业</w:t>
            </w:r>
          </w:p>
        </w:tc>
        <w:tc>
          <w:tcPr>
            <w:tcW w:type="dxa" w:w="4082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既有外贸公司主体，又有生产工厂；贸易与制造成本要打通</w:t>
            </w:r>
          </w:p>
        </w:tc>
        <w:tc>
          <w:tcPr>
            <w:tcW w:type="dxa" w:w="2835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全部 19 个业务域，按阶段上线</w:t>
            </w:r>
          </w:p>
        </w:tc>
      </w:tr>
      <w:tr>
        <w:trPr>
          <w:cantSplit w:val="true"/>
        </w:trPr>
        <w:tc>
          <w:tcPr>
            <w:tcW w:type="dxa" w:w="2494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7"/>
              </w:rPr>
              <w:t>五金工具出口贸易商</w:t>
            </w:r>
          </w:p>
        </w:tc>
        <w:tc>
          <w:tcPr>
            <w:tcW w:type="dxa" w:w="4082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不设车间，供应商多、SKU 多、认证多；重点在报价与单证</w:t>
            </w:r>
          </w:p>
        </w:tc>
        <w:tc>
          <w:tcPr>
            <w:tcW w:type="dxa" w:w="2835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贸易 + 单证 + 财务 + 平台渠道</w:t>
            </w:r>
          </w:p>
        </w:tc>
      </w:tr>
      <w:tr>
        <w:trPr>
          <w:cantSplit w:val="true"/>
        </w:trPr>
        <w:tc>
          <w:tcPr>
            <w:tcW w:type="dxa" w:w="2494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7"/>
              </w:rPr>
              <w:t>跨境零售 + 传统外贸</w:t>
            </w:r>
          </w:p>
        </w:tc>
        <w:tc>
          <w:tcPr>
            <w:tcW w:type="dxa" w:w="4082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平台店铺与 B2B 订单并行，平台回款与退货要单独核算</w:t>
            </w:r>
          </w:p>
        </w:tc>
        <w:tc>
          <w:tcPr>
            <w:tcW w:type="dxa" w:w="2835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贸易 + 平台渠道 + 财务 + 仓储</w:t>
            </w:r>
          </w:p>
        </w:tc>
      </w:tr>
    </w:tbl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0A1628"/>
          <w:sz w:val="26"/>
        </w:rPr>
        <w:t>1.2 不做什么（边界先说清）</w:t>
      </w:r>
    </w:p>
    <w:p>
      <w:pPr>
        <w:spacing w:before="0" w:after="80" w:line="336" w:lineRule="auto"/>
        <w:ind w:left="312" w:hanging="312"/>
      </w:pPr>
      <w:r>
        <w:rPr>
          <w:rFonts w:ascii="微软雅黑" w:hAnsi="微软雅黑" w:eastAsia="微软雅黑"/>
          <w:b/>
          <w:i w:val="0"/>
          <w:color w:val="F97316"/>
          <w:sz w:val="21"/>
        </w:rPr>
        <w:t xml:space="preserve">· </w:t>
      </w:r>
      <w:r>
        <w:rPr>
          <w:rFonts w:ascii="微软雅黑" w:hAnsi="微软雅黑" w:eastAsia="微软雅黑"/>
          <w:b w:val="0"/>
          <w:i w:val="0"/>
          <w:color w:val="1B2432"/>
          <w:sz w:val="21"/>
        </w:rPr>
        <w:t>不替代企业做账与审计：系统输出可申报的单据与数据，总账仍由企业财务在既有核算体系中处理。</w:t>
      </w:r>
    </w:p>
    <w:p>
      <w:pPr>
        <w:spacing w:before="0" w:after="80" w:line="336" w:lineRule="auto"/>
        <w:ind w:left="312" w:hanging="312"/>
      </w:pPr>
      <w:r>
        <w:rPr>
          <w:rFonts w:ascii="微软雅黑" w:hAnsi="微软雅黑" w:eastAsia="微软雅黑"/>
          <w:b/>
          <w:i w:val="0"/>
          <w:color w:val="F97316"/>
          <w:sz w:val="21"/>
        </w:rPr>
        <w:t xml:space="preserve">· </w:t>
      </w:r>
      <w:r>
        <w:rPr>
          <w:rFonts w:ascii="微软雅黑" w:hAnsi="微软雅黑" w:eastAsia="微软雅黑"/>
          <w:b w:val="0"/>
          <w:i w:val="0"/>
          <w:color w:val="1B2432"/>
          <w:sz w:val="21"/>
        </w:rPr>
        <w:t>不替代报关行申报：系统生成报关资料包与申报要素，实际申报与回执由报关行完成。</w:t>
      </w:r>
    </w:p>
    <w:p>
      <w:pPr>
        <w:spacing w:before="0" w:after="80" w:line="336" w:lineRule="auto"/>
        <w:ind w:left="312" w:hanging="312"/>
      </w:pPr>
      <w:r>
        <w:rPr>
          <w:rFonts w:ascii="微软雅黑" w:hAnsi="微软雅黑" w:eastAsia="微软雅黑"/>
          <w:b/>
          <w:i w:val="0"/>
          <w:color w:val="F97316"/>
          <w:sz w:val="21"/>
        </w:rPr>
        <w:t xml:space="preserve">· </w:t>
      </w:r>
      <w:r>
        <w:rPr>
          <w:rFonts w:ascii="微软雅黑" w:hAnsi="微软雅黑" w:eastAsia="微软雅黑"/>
          <w:b w:val="0"/>
          <w:i w:val="0"/>
          <w:color w:val="1B2432"/>
          <w:sz w:val="21"/>
        </w:rPr>
        <w:t>不做无人工确认的 AI 决策：AI 只给字段、置信度、证据与风险清单，改单、定价、放货必须由人拍板。</w:t>
      </w:r>
    </w:p>
    <w:p>
      <w:pPr>
        <w:spacing w:before="0" w:after="80" w:line="336" w:lineRule="auto"/>
        <w:ind w:left="312" w:hanging="312"/>
      </w:pPr>
      <w:r>
        <w:rPr>
          <w:rFonts w:ascii="微软雅黑" w:hAnsi="微软雅黑" w:eastAsia="微软雅黑"/>
          <w:b/>
          <w:i w:val="0"/>
          <w:color w:val="F97316"/>
          <w:sz w:val="21"/>
        </w:rPr>
        <w:t xml:space="preserve">· </w:t>
      </w:r>
      <w:r>
        <w:rPr>
          <w:rFonts w:ascii="微软雅黑" w:hAnsi="微软雅黑" w:eastAsia="微软雅黑"/>
          <w:b w:val="0"/>
          <w:i w:val="0"/>
          <w:color w:val="1B2432"/>
          <w:sz w:val="21"/>
        </w:rPr>
        <w:t>不承诺「一套系统解决所有行业」：本系统按电动工具 / 五金工具的机型、认证、单证与工艺口径预置，跨行业需要重新配置主数据。</w:t>
      </w:r>
    </w:p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0A1628"/>
          <w:sz w:val="26"/>
        </w:rPr>
        <w:t>1.3 关键数字（2026-11 口径）</w:t>
      </w:r>
    </w:p>
    <w:tbl>
      <w:tblPr>
        <w:tblW w:type="dxa" w:w="9412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CE2EC"/>
          <w:left w:val="single" w:sz="4" w:space="0" w:color="DCE2EC"/>
          <w:bottom w:val="single" w:sz="4" w:space="0" w:color="DCE2EC"/>
          <w:right w:val="single" w:sz="4" w:space="0" w:color="DCE2EC"/>
          <w:insideH w:val="single" w:sz="4" w:space="0" w:color="DCE2EC"/>
          <w:insideV w:val="single" w:sz="4" w:space="0" w:color="DCE2EC"/>
        </w:tblBorders>
        <w:tblCellMar>
          <w:top w:w="40" w:type="dxa"/>
          <w:bottom w:w="40" w:type="dxa"/>
          <w:left w:w="90" w:type="dxa"/>
          <w:right w:w="90" w:type="dxa"/>
        </w:tblCellMar>
      </w:tblPr>
      <w:tblGrid>
        <w:gridCol w:w="2268"/>
        <w:gridCol w:w="2381"/>
        <w:gridCol w:w="4762"/>
      </w:tblGrid>
      <w:tr>
        <w:trPr>
          <w:tblHeader w:val="true"/>
        </w:trPr>
        <w:tc>
          <w:tcPr>
            <w:tcW w:type="dxa" w:w="2268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指标</w:t>
            </w:r>
          </w:p>
        </w:tc>
        <w:tc>
          <w:tcPr>
            <w:tcW w:type="dxa" w:w="2381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数值</w:t>
            </w:r>
          </w:p>
        </w:tc>
        <w:tc>
          <w:tcPr>
            <w:tcW w:type="dxa" w:w="4762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口径说明</w:t>
            </w:r>
          </w:p>
        </w:tc>
      </w:tr>
      <w:tr>
        <w:trPr>
          <w:cantSplit w:val="true"/>
        </w:trPr>
        <w:tc>
          <w:tcPr>
            <w:tcW w:type="dxa" w:w="2268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7"/>
              </w:rPr>
              <w:t>业务域</w:t>
            </w:r>
          </w:p>
        </w:tc>
        <w:tc>
          <w:tcPr>
            <w:tcW w:type="dxa" w:w="2381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19 个</w:t>
            </w:r>
          </w:p>
        </w:tc>
        <w:tc>
          <w:tcPr>
            <w:tcW w:type="dxa" w:w="4762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与角色权限模块一一对应，左侧导航分 20 个分组</w:t>
            </w:r>
          </w:p>
        </w:tc>
      </w:tr>
      <w:tr>
        <w:trPr>
          <w:cantSplit w:val="true"/>
        </w:trPr>
        <w:tc>
          <w:tcPr>
            <w:tcW w:type="dxa" w:w="2268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7"/>
              </w:rPr>
              <w:t>功能入口</w:t>
            </w:r>
          </w:p>
        </w:tc>
        <w:tc>
          <w:tcPr>
            <w:tcW w:type="dxa" w:w="2381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208 个</w:t>
            </w:r>
          </w:p>
        </w:tc>
        <w:tc>
          <w:tcPr>
            <w:tcW w:type="dxa" w:w="4762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app-meta.js 中 MENUS 条目总数，逐条可在演示环境点开</w:t>
            </w:r>
          </w:p>
        </w:tc>
      </w:tr>
      <w:tr>
        <w:trPr>
          <w:cantSplit w:val="true"/>
        </w:trPr>
        <w:tc>
          <w:tcPr>
            <w:tcW w:type="dxa" w:w="2268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7"/>
              </w:rPr>
              <w:t>单证校验规则</w:t>
            </w:r>
          </w:p>
        </w:tc>
        <w:tc>
          <w:tcPr>
            <w:tcW w:type="dxa" w:w="2381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25 条</w:t>
            </w:r>
          </w:p>
        </w:tc>
        <w:tc>
          <w:tcPr>
            <w:tcW w:type="dxa" w:w="4762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8 类单证全部启用，其中 14 条自动校验，其余待人工复核</w:t>
            </w:r>
          </w:p>
        </w:tc>
      </w:tr>
      <w:tr>
        <w:trPr>
          <w:cantSplit w:val="true"/>
        </w:trPr>
        <w:tc>
          <w:tcPr>
            <w:tcW w:type="dxa" w:w="2268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7"/>
              </w:rPr>
              <w:t>AI 能力</w:t>
            </w:r>
          </w:p>
        </w:tc>
        <w:tc>
          <w:tcPr>
            <w:tcW w:type="dxa" w:w="2381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12 项</w:t>
            </w:r>
          </w:p>
        </w:tc>
        <w:tc>
          <w:tcPr>
            <w:tcW w:type="dxa" w:w="4762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已上线 10 项、规划中 2 项，全部人在回路</w:t>
            </w:r>
          </w:p>
        </w:tc>
      </w:tr>
      <w:tr>
        <w:trPr>
          <w:cantSplit w:val="true"/>
        </w:trPr>
        <w:tc>
          <w:tcPr>
            <w:tcW w:type="dxa" w:w="2268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7"/>
              </w:rPr>
              <w:t>角色与权限</w:t>
            </w:r>
          </w:p>
        </w:tc>
        <w:tc>
          <w:tcPr>
            <w:tcW w:type="dxa" w:w="2381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29 角色 / 696 格</w:t>
            </w:r>
          </w:p>
        </w:tc>
        <w:tc>
          <w:tcPr>
            <w:tcW w:type="dxa" w:w="4762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19 个权限模块 × 5 类动作，逐格可改</w:t>
            </w:r>
          </w:p>
        </w:tc>
      </w:tr>
      <w:tr>
        <w:trPr>
          <w:cantSplit w:val="true"/>
        </w:trPr>
        <w:tc>
          <w:tcPr>
            <w:tcW w:type="dxa" w:w="2268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7"/>
              </w:rPr>
              <w:t>演示数据</w:t>
            </w:r>
          </w:p>
        </w:tc>
        <w:tc>
          <w:tcPr>
            <w:tcW w:type="dxa" w:w="2381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192 张表</w:t>
            </w:r>
          </w:p>
        </w:tc>
        <w:tc>
          <w:tcPr>
            <w:tcW w:type="dxa" w:w="4762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180 张外销订单、651 份单证、260 张工单、5,003 个库存批次</w:t>
            </w:r>
          </w:p>
        </w:tc>
      </w:tr>
    </w:tbl>
    <w:tbl>
      <w:tblPr>
        <w:tblW w:type="dxa" w:w="9412"/>
        <w:jc w:val="center"/>
        <w:tblLayout w:type="fixed"/>
        <w:tblLook w:firstColumn="1" w:firstRow="1" w:lastColumn="0" w:lastRow="0" w:noHBand="0" w:noVBand="1" w:val="04A0"/>
        <w:tblCellMar>
          <w:top w:w="120" w:type="dxa"/>
          <w:bottom w:w="120" w:type="dxa"/>
          <w:left w:w="160" w:type="dxa"/>
          <w:right w:w="160" w:type="dxa"/>
        </w:tblCellMar>
        <w:tblBorders>
          <w:top w:val="single" w:sz="1" w:space="0" w:color="FFF1E6"/>
          <w:left w:val="single" w:sz="1" w:space="0" w:color="FFF1E6"/>
          <w:bottom w:val="single" w:sz="1" w:space="0" w:color="FFF1E6"/>
          <w:right w:val="single" w:sz="1" w:space="0" w:color="FFF1E6"/>
          <w:insideH w:val="single" w:sz="1" w:space="0" w:color="FFF1E6"/>
          <w:insideV w:val="single" w:sz="1" w:space="0" w:color="FFF1E6"/>
        </w:tblBorders>
      </w:tblPr>
      <w:tblGrid>
        <w:gridCol w:w="9412"/>
      </w:tblGrid>
      <w:tr>
        <w:tc>
          <w:tcPr>
            <w:tcW w:type="dxa" w:w="9411"/>
            <w:shd w:val="clear" w:color="auto" w:fill="FFF1E6"/>
          </w:tcPr>
          <w:p>
            <w:pPr>
              <w:spacing w:after="40"/>
            </w:pPr>
            <w:r>
              <w:rPr>
                <w:rFonts w:ascii="微软雅黑" w:hAnsi="微软雅黑" w:eastAsia="微软雅黑"/>
                <w:b/>
                <w:i w:val="0"/>
                <w:color w:val="8A4B12"/>
                <w:sz w:val="19"/>
              </w:rPr>
              <w:t>选型建议</w:t>
            </w:r>
          </w:p>
          <w:p>
            <w:pPr>
              <w:spacing w:after="0" w:line="336" w:lineRule="auto"/>
            </w:pPr>
            <w:r>
              <w:rPr>
                <w:rFonts w:ascii="微软雅黑" w:hAnsi="微软雅黑" w:eastAsia="微软雅黑"/>
                <w:b w:val="0"/>
                <w:i w:val="0"/>
                <w:color w:val="8A4B12"/>
                <w:sz w:val="18"/>
              </w:rPr>
              <w:t>不要按「模块数量」比价。先看三件事：单证能不能在出单前拦住错、车间报工能不能当天回写、收汇与退税能不能追到具体订单。这三点决定系统是「电子台账」还是「业务主线」。</w:t>
            </w:r>
          </w:p>
        </w:tc>
      </w:tr>
    </w:tbl>
    <w:p>
      <w:pPr>
        <w:spacing w:after="40"/>
      </w:pPr>
    </w:p>
    <w:p>
      <w:pPr>
        <w:pageBreakBefore/>
        <w:spacing w:before="40" w:after="40"/>
      </w:pPr>
      <w:r>
        <w:rPr>
          <w:rFonts w:ascii="微软雅黑" w:hAnsi="微软雅黑" w:eastAsia="微软雅黑"/>
          <w:b/>
          <w:i w:val="0"/>
          <w:color w:val="F97316"/>
          <w:sz w:val="17"/>
        </w:rPr>
        <w:t>CHAPTER 02  WHY IT MATTERS</w:t>
      </w:r>
    </w:p>
    <w:p>
      <w:pPr>
        <w:spacing w:before="40" w:after="200"/>
        <w:pBdr>
          <w:bottom w:val="single" w:sz="10" w:space="6" w:color="F97316"/>
        </w:pBdr>
      </w:pPr>
      <w:r>
        <w:rPr>
          <w:rFonts w:ascii="微软雅黑" w:hAnsi="微软雅黑" w:eastAsia="微软雅黑"/>
          <w:b/>
          <w:i w:val="0"/>
          <w:color w:val="0A1628"/>
          <w:sz w:val="40"/>
        </w:rPr>
        <w:t>行业断点与解法</w:t>
      </w:r>
    </w:p>
    <w:p>
      <w:pPr>
        <w:spacing w:before="0" w:after="140" w:line="348" w:lineRule="auto"/>
        <w:jc w:val="both"/>
      </w:pPr>
      <w:r>
        <w:rPr>
          <w:rFonts w:ascii="微软雅黑" w:hAnsi="微软雅黑" w:eastAsia="微软雅黑"/>
          <w:b w:val="0"/>
          <w:i w:val="0"/>
          <w:color w:val="1B2432"/>
          <w:sz w:val="21"/>
        </w:rPr>
        <w:t>多数工贸企业不是没有系统，而是六段业务各说各话：业务用 Excel、单证用另一套模板、车间用微信群、财务用账套、老板看月度报表。每一段都在运转，但段与段之间靠人搬数。下面六个断点，是我们在电动工具出口企业里最常遇到的。</w:t>
      </w:r>
    </w:p>
    <w:tbl>
      <w:tblPr>
        <w:tblW w:type="dxa" w:w="9412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CE2EC"/>
          <w:left w:val="single" w:sz="4" w:space="0" w:color="DCE2EC"/>
          <w:bottom w:val="single" w:sz="4" w:space="0" w:color="DCE2EC"/>
          <w:right w:val="single" w:sz="4" w:space="0" w:color="DCE2EC"/>
          <w:insideH w:val="single" w:sz="4" w:space="0" w:color="DCE2EC"/>
          <w:insideV w:val="single" w:sz="4" w:space="0" w:color="DCE2EC"/>
        </w:tblBorders>
        <w:tblCellMar>
          <w:top w:w="40" w:type="dxa"/>
          <w:bottom w:w="40" w:type="dxa"/>
          <w:left w:w="90" w:type="dxa"/>
          <w:right w:w="90" w:type="dxa"/>
        </w:tblCellMar>
      </w:tblPr>
      <w:tblGrid>
        <w:gridCol w:w="1927"/>
        <w:gridCol w:w="3742"/>
        <w:gridCol w:w="3742"/>
      </w:tblGrid>
      <w:tr>
        <w:trPr>
          <w:tblHeader w:val="true"/>
        </w:trPr>
        <w:tc>
          <w:tcPr>
            <w:tcW w:type="dxa" w:w="1928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断点</w:t>
            </w:r>
          </w:p>
        </w:tc>
        <w:tc>
          <w:tcPr>
            <w:tcW w:type="dxa" w:w="3742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现在怎么做</w:t>
            </w:r>
          </w:p>
        </w:tc>
        <w:tc>
          <w:tcPr>
            <w:tcW w:type="dxa" w:w="3742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系统怎么解</w:t>
            </w:r>
          </w:p>
        </w:tc>
      </w:tr>
      <w:tr>
        <w:trPr>
          <w:cantSplit w:val="true"/>
        </w:trPr>
        <w:tc>
          <w:tcPr>
            <w:tcW w:type="dxa" w:w="1928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7"/>
              </w:rPr>
              <w:t>询盘靠人盯</w:t>
            </w:r>
          </w:p>
        </w:tc>
        <w:tc>
          <w:tcPr>
            <w:tcW w:type="dxa" w:w="3742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客户邮件、微信、平台消息散在几个人手里，24 小时响应靠自觉，超时没人知道。</w:t>
            </w:r>
          </w:p>
        </w:tc>
        <w:tc>
          <w:tcPr>
            <w:tcW w:type="dxa" w:w="3742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询盘池 + SLA 倒计时，超时自动置顶标红，跟进记录必须落到询盘上。</w:t>
            </w:r>
          </w:p>
        </w:tc>
      </w:tr>
      <w:tr>
        <w:trPr>
          <w:cantSplit w:val="true"/>
        </w:trPr>
        <w:tc>
          <w:tcPr>
            <w:tcW w:type="dxa" w:w="1928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7"/>
              </w:rPr>
              <w:t>报价拍脑袋</w:t>
            </w:r>
          </w:p>
        </w:tc>
        <w:tc>
          <w:tcPr>
            <w:tcW w:type="dxa" w:w="3742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成本只有材料和大头费用，退税、认证摊销、海运保险靠估；不同业务员报出不同价。</w:t>
            </w:r>
          </w:p>
        </w:tc>
        <w:tc>
          <w:tcPr>
            <w:tcW w:type="dxa" w:w="3742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12 项成本卡逐项列，退税收益作减项；报价低于红线必须走审批，价格台账留痕。</w:t>
            </w:r>
          </w:p>
        </w:tc>
      </w:tr>
      <w:tr>
        <w:trPr>
          <w:cantSplit w:val="true"/>
        </w:trPr>
        <w:tc>
          <w:tcPr>
            <w:tcW w:type="dxa" w:w="1928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7"/>
              </w:rPr>
              <w:t>单证出单才被拦</w:t>
            </w:r>
          </w:p>
        </w:tc>
        <w:tc>
          <w:tcPr>
            <w:tcW w:type="dxa" w:w="3742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箱数、金额、币种、HS 编码对不上，货到港才发现，一次返工就是两天船期。</w:t>
            </w:r>
          </w:p>
        </w:tc>
        <w:tc>
          <w:tcPr>
            <w:tcW w:type="dxa" w:w="3742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8 类单证一键生成，25 条规则逐条判定（14 条自动），阻断项不签章不出单。</w:t>
            </w:r>
          </w:p>
        </w:tc>
      </w:tr>
      <w:tr>
        <w:trPr>
          <w:cantSplit w:val="true"/>
        </w:trPr>
        <w:tc>
          <w:tcPr>
            <w:tcW w:type="dxa" w:w="1928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7"/>
              </w:rPr>
              <w:t>车间是黑箱</w:t>
            </w:r>
          </w:p>
        </w:tc>
        <w:tc>
          <w:tcPr>
            <w:tcW w:type="dxa" w:w="3742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排产在 Excel、报工在微信群，插单影响说不清，交期只能拍脑袋答。</w:t>
            </w:r>
          </w:p>
        </w:tc>
        <w:tc>
          <w:tcPr>
            <w:tcW w:type="dxa" w:w="3742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工单 + 工艺 + 扫码报工 + 车间大屏；插单影响模拟给出受影响工单与答复交期。</w:t>
            </w:r>
          </w:p>
        </w:tc>
      </w:tr>
      <w:tr>
        <w:trPr>
          <w:cantSplit w:val="true"/>
        </w:trPr>
        <w:tc>
          <w:tcPr>
            <w:tcW w:type="dxa" w:w="1928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7"/>
              </w:rPr>
              <w:t>钱和税对不上</w:t>
            </w:r>
          </w:p>
        </w:tc>
        <w:tc>
          <w:tcPr>
            <w:tcW w:type="dxa" w:w="3742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水单到了不知道是谁的，月底对账才发现认错；退税批次因缺件作废。</w:t>
            </w:r>
          </w:p>
        </w:tc>
        <w:tc>
          <w:tcPr>
            <w:tcW w:type="dxa" w:w="3742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水单按名称 / 金额 / 币种 / 日期给候选与匹配度，人工确认认领；退税缺件穿透到责任人和剩余天数。</w:t>
            </w:r>
          </w:p>
        </w:tc>
      </w:tr>
      <w:tr>
        <w:trPr>
          <w:cantSplit w:val="true"/>
        </w:trPr>
        <w:tc>
          <w:tcPr>
            <w:tcW w:type="dxa" w:w="1928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7"/>
              </w:rPr>
              <w:t>数据散在 Excel</w:t>
            </w:r>
          </w:p>
        </w:tc>
        <w:tc>
          <w:tcPr>
            <w:tcW w:type="dxa" w:w="3742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同一张订单在业务、单证、财务各有一份，口径不一致，老板看到的数不能直接决策。</w:t>
            </w:r>
          </w:p>
        </w:tc>
        <w:tc>
          <w:tcPr>
            <w:tcW w:type="dxa" w:w="3742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一套主数据与一套单据流，老板看板八个数两次穿透到订单级明细。</w:t>
            </w:r>
          </w:p>
        </w:tc>
      </w:tr>
    </w:tbl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0A1628"/>
          <w:sz w:val="26"/>
        </w:rPr>
        <w:t>2.1 一条判据：能不能当场验证</w:t>
      </w:r>
    </w:p>
    <w:p>
      <w:pPr>
        <w:spacing w:before="0" w:after="140" w:line="348" w:lineRule="auto"/>
        <w:jc w:val="both"/>
      </w:pPr>
      <w:r>
        <w:rPr>
          <w:rFonts w:ascii="微软雅黑" w:hAnsi="微软雅黑" w:eastAsia="微软雅黑"/>
          <w:b w:val="0"/>
          <w:i w:val="0"/>
          <w:color w:val="1B2432"/>
          <w:sz w:val="21"/>
        </w:rPr>
        <w:t>判断一套系统是不是真在跑业务，不看功能列表，看四个动作能不能当场做出来：</w:t>
      </w:r>
    </w:p>
    <w:p>
      <w:pPr>
        <w:spacing w:before="0" w:after="80" w:line="336" w:lineRule="auto"/>
        <w:ind w:left="312" w:hanging="312"/>
      </w:pPr>
      <w:r>
        <w:rPr>
          <w:rFonts w:ascii="微软雅黑" w:hAnsi="微软雅黑" w:eastAsia="微软雅黑"/>
          <w:b/>
          <w:i w:val="0"/>
          <w:color w:val="F97316"/>
          <w:sz w:val="21"/>
        </w:rPr>
        <w:t xml:space="preserve">· </w:t>
      </w:r>
      <w:r>
        <w:rPr>
          <w:rFonts w:ascii="微软雅黑" w:hAnsi="微软雅黑" w:eastAsia="微软雅黑"/>
          <w:b w:val="0"/>
          <w:i w:val="0"/>
          <w:color w:val="1B2432"/>
          <w:sz w:val="21"/>
        </w:rPr>
        <w:t>把一张报价的成本卡打开，改一项海运费用，毛利与建议价同时变。</w:t>
      </w:r>
    </w:p>
    <w:p>
      <w:pPr>
        <w:spacing w:before="0" w:after="80" w:line="336" w:lineRule="auto"/>
        <w:ind w:left="312" w:hanging="312"/>
      </w:pPr>
      <w:r>
        <w:rPr>
          <w:rFonts w:ascii="微软雅黑" w:hAnsi="微软雅黑" w:eastAsia="微软雅黑"/>
          <w:b/>
          <w:i w:val="0"/>
          <w:color w:val="F97316"/>
          <w:sz w:val="21"/>
        </w:rPr>
        <w:t xml:space="preserve">· </w:t>
      </w:r>
      <w:r>
        <w:rPr>
          <w:rFonts w:ascii="微软雅黑" w:hAnsi="微软雅黑" w:eastAsia="微软雅黑"/>
          <w:b w:val="0"/>
          <w:i w:val="0"/>
          <w:color w:val="1B2432"/>
          <w:sz w:val="21"/>
        </w:rPr>
        <w:t>把装箱单箱数改错，校验立刻红色阻断；改回即通过。</w:t>
      </w:r>
    </w:p>
    <w:p>
      <w:pPr>
        <w:spacing w:before="0" w:after="80" w:line="336" w:lineRule="auto"/>
        <w:ind w:left="312" w:hanging="312"/>
      </w:pPr>
      <w:r>
        <w:rPr>
          <w:rFonts w:ascii="微软雅黑" w:hAnsi="微软雅黑" w:eastAsia="微软雅黑"/>
          <w:b/>
          <w:i w:val="0"/>
          <w:color w:val="F97316"/>
          <w:sz w:val="21"/>
        </w:rPr>
        <w:t xml:space="preserve">· </w:t>
      </w:r>
      <w:r>
        <w:rPr>
          <w:rFonts w:ascii="微软雅黑" w:hAnsi="微软雅黑" w:eastAsia="微软雅黑"/>
          <w:b w:val="0"/>
          <w:i w:val="0"/>
          <w:color w:val="1B2432"/>
          <w:sz w:val="21"/>
        </w:rPr>
        <w:t>点一条未认领水单，能看到候选订单、匹配度与差额解释。</w:t>
      </w:r>
    </w:p>
    <w:p>
      <w:pPr>
        <w:spacing w:before="0" w:after="80" w:line="336" w:lineRule="auto"/>
        <w:ind w:left="312" w:hanging="312"/>
      </w:pPr>
      <w:r>
        <w:rPr>
          <w:rFonts w:ascii="微软雅黑" w:hAnsi="微软雅黑" w:eastAsia="微软雅黑"/>
          <w:b/>
          <w:i w:val="0"/>
          <w:color w:val="F97316"/>
          <w:sz w:val="21"/>
        </w:rPr>
        <w:t xml:space="preserve">· </w:t>
      </w:r>
      <w:r>
        <w:rPr>
          <w:rFonts w:ascii="微软雅黑" w:hAnsi="微软雅黑" w:eastAsia="微软雅黑"/>
          <w:b w:val="0"/>
          <w:i w:val="0"/>
          <w:color w:val="1B2432"/>
          <w:sz w:val="21"/>
        </w:rPr>
        <w:t>把平板递给客户，自己扫一次工单码报工，车间大屏 5 秒内变化。</w:t>
      </w:r>
    </w:p>
    <w:p>
      <w:pPr>
        <w:spacing w:before="0" w:after="140" w:line="348" w:lineRule="auto"/>
        <w:jc w:val="both"/>
      </w:pPr>
      <w:r>
        <w:rPr>
          <w:rFonts w:ascii="微软雅黑" w:hAnsi="微软雅黑" w:eastAsia="微软雅黑"/>
          <w:b w:val="0"/>
          <w:i w:val="0"/>
          <w:color w:val="1B2432"/>
          <w:sz w:val="21"/>
        </w:rPr>
        <w:t>这四个动作对应本手册第 5 章的四个招牌动作，也是演示时最值得让客户自己动手的部分。</w:t>
      </w:r>
    </w:p>
    <w:p>
      <w:pPr>
        <w:pageBreakBefore/>
        <w:spacing w:before="40" w:after="40"/>
      </w:pPr>
      <w:r>
        <w:rPr>
          <w:rFonts w:ascii="微软雅黑" w:hAnsi="微软雅黑" w:eastAsia="微软雅黑"/>
          <w:b/>
          <w:i w:val="0"/>
          <w:color w:val="F97316"/>
          <w:sz w:val="17"/>
        </w:rPr>
        <w:t>CHAPTER 03  THE MAIN LINE</w:t>
      </w:r>
    </w:p>
    <w:p>
      <w:pPr>
        <w:spacing w:before="40" w:after="200"/>
        <w:pBdr>
          <w:bottom w:val="single" w:sz="10" w:space="6" w:color="F97316"/>
        </w:pBdr>
      </w:pPr>
      <w:r>
        <w:rPr>
          <w:rFonts w:ascii="微软雅黑" w:hAnsi="微软雅黑" w:eastAsia="微软雅黑"/>
          <w:b/>
          <w:i w:val="0"/>
          <w:color w:val="0A1628"/>
          <w:sz w:val="40"/>
        </w:rPr>
        <w:t>一条主线：从询盘到退税</w:t>
      </w:r>
    </w:p>
    <w:p>
      <w:pPr>
        <w:spacing w:before="0" w:after="140" w:line="348" w:lineRule="auto"/>
        <w:jc w:val="both"/>
      </w:pPr>
      <w:r>
        <w:rPr>
          <w:rFonts w:ascii="微软雅黑" w:hAnsi="微软雅黑" w:eastAsia="微软雅黑"/>
          <w:b w:val="0"/>
          <w:i w:val="0"/>
          <w:color w:val="1B2432"/>
          <w:sz w:val="21"/>
        </w:rPr>
        <w:t>这套系统不按「模块」组织讲法，而按客户的一天组织动线。下面十段，是电动工具出口企业最常见的一条完整主线；每一段的输出，都是下一段的输入，不需要导出再导入。</w:t>
      </w:r>
    </w:p>
    <w:tbl>
      <w:tblPr>
        <w:tblW w:type="dxa" w:w="9752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CE2EC"/>
          <w:left w:val="single" w:sz="4" w:space="0" w:color="DCE2EC"/>
          <w:bottom w:val="single" w:sz="4" w:space="0" w:color="DCE2EC"/>
          <w:right w:val="single" w:sz="4" w:space="0" w:color="DCE2EC"/>
          <w:insideH w:val="single" w:sz="4" w:space="0" w:color="DCE2EC"/>
          <w:insideV w:val="single" w:sz="4" w:space="0" w:color="DCE2EC"/>
        </w:tblBorders>
        <w:tblCellMar>
          <w:top w:w="40" w:type="dxa"/>
          <w:bottom w:w="40" w:type="dxa"/>
          <w:left w:w="90" w:type="dxa"/>
          <w:right w:w="90" w:type="dxa"/>
        </w:tblCellMar>
      </w:tblPr>
      <w:tblGrid>
        <w:gridCol w:w="1247"/>
        <w:gridCol w:w="2268"/>
        <w:gridCol w:w="3061"/>
        <w:gridCol w:w="1927"/>
        <w:gridCol w:w="1247"/>
      </w:tblGrid>
      <w:tr>
        <w:trPr>
          <w:tblHeader w:val="true"/>
        </w:trPr>
        <w:tc>
          <w:tcPr>
            <w:tcW w:type="dxa" w:w="1247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阶段</w:t>
            </w:r>
          </w:p>
        </w:tc>
        <w:tc>
          <w:tcPr>
            <w:tcW w:type="dxa" w:w="2268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输入</w:t>
            </w:r>
          </w:p>
        </w:tc>
        <w:tc>
          <w:tcPr>
            <w:tcW w:type="dxa" w:w="3061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系统动作</w:t>
            </w:r>
          </w:p>
        </w:tc>
        <w:tc>
          <w:tcPr>
            <w:tcW w:type="dxa" w:w="1928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输出 / 落点</w:t>
            </w:r>
          </w:p>
        </w:tc>
        <w:tc>
          <w:tcPr>
            <w:tcW w:type="dxa" w:w="1247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主责角色</w:t>
            </w:r>
          </w:p>
        </w:tc>
      </w:tr>
      <w:tr>
        <w:trPr>
          <w:cantSplit w:val="true"/>
        </w:trPr>
        <w:tc>
          <w:tcPr>
            <w:tcW w:type="dxa" w:w="1247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询盘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客户邮件、平台消息、展会名片</w:t>
            </w:r>
          </w:p>
        </w:tc>
        <w:tc>
          <w:tcPr>
            <w:tcW w:type="dxa" w:w="3061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进询盘池，启动 24 小时 SLA 倒计时</w:t>
            </w:r>
          </w:p>
        </w:tc>
        <w:tc>
          <w:tcPr>
            <w:tcW w:type="dxa" w:w="1928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询盘记录 + 跟进任务</w:t>
            </w:r>
          </w:p>
        </w:tc>
        <w:tc>
          <w:tcPr>
            <w:tcW w:type="dxa" w:w="1247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外贸业务员</w:t>
            </w:r>
          </w:p>
        </w:tc>
      </w:tr>
      <w:tr>
        <w:trPr>
          <w:cantSplit w:val="true"/>
        </w:trPr>
        <w:tc>
          <w:tcPr>
            <w:tcW w:type="dxa" w:w="1247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报价</w:t>
            </w:r>
          </w:p>
        </w:tc>
        <w:tc>
          <w:tcPr>
            <w:tcW w:type="dxa" w:w="2268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机型、数量、目标价、市场</w:t>
            </w:r>
          </w:p>
        </w:tc>
        <w:tc>
          <w:tcPr>
            <w:tcW w:type="dxa" w:w="3061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12 项成本卡 + 退税收益减项 + 毛利红线</w:t>
            </w:r>
          </w:p>
        </w:tc>
        <w:tc>
          <w:tcPr>
            <w:tcW w:type="dxa" w:w="1928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报价单 + 成本卡 + 审批</w:t>
            </w:r>
          </w:p>
        </w:tc>
        <w:tc>
          <w:tcPr>
            <w:tcW w:type="dxa" w:w="1247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外贸业务员 / 主管</w:t>
            </w:r>
          </w:p>
        </w:tc>
      </w:tr>
      <w:tr>
        <w:trPr>
          <w:cantSplit w:val="true"/>
        </w:trPr>
        <w:tc>
          <w:tcPr>
            <w:tcW w:type="dxa" w:w="1247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认证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目标市场、机型、现有证书</w:t>
            </w:r>
          </w:p>
        </w:tc>
        <w:tc>
          <w:tcPr>
            <w:tcW w:type="dxa" w:w="3061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市场准入比对，列缺口与倒排周期</w:t>
            </w:r>
          </w:p>
        </w:tc>
        <w:tc>
          <w:tcPr>
            <w:tcW w:type="dxa" w:w="1928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续证任务 + 准入结论</w:t>
            </w:r>
          </w:p>
        </w:tc>
        <w:tc>
          <w:tcPr>
            <w:tcW w:type="dxa" w:w="1247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认证专员</w:t>
            </w:r>
          </w:p>
        </w:tc>
      </w:tr>
      <w:tr>
        <w:trPr>
          <w:cantSplit w:val="true"/>
        </w:trPr>
        <w:tc>
          <w:tcPr>
            <w:tcW w:type="dxa" w:w="1247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订单</w:t>
            </w:r>
          </w:p>
        </w:tc>
        <w:tc>
          <w:tcPr>
            <w:tcW w:type="dxa" w:w="2268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客户 PO、报价、授信</w:t>
            </w:r>
          </w:p>
        </w:tc>
        <w:tc>
          <w:tcPr>
            <w:tcW w:type="dxa" w:w="3061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订单节点 + 放货规则逐条判定</w:t>
            </w:r>
          </w:p>
        </w:tc>
        <w:tc>
          <w:tcPr>
            <w:tcW w:type="dxa" w:w="1928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外销订单 + 11 个节点</w:t>
            </w:r>
          </w:p>
        </w:tc>
        <w:tc>
          <w:tcPr>
            <w:tcW w:type="dxa" w:w="1247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外贸业务员</w:t>
            </w:r>
          </w:p>
        </w:tc>
      </w:tr>
      <w:tr>
        <w:trPr>
          <w:cantSplit w:val="true"/>
        </w:trPr>
        <w:tc>
          <w:tcPr>
            <w:tcW w:type="dxa" w:w="1247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单证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订单、装箱数据、报关要素</w:t>
            </w:r>
          </w:p>
        </w:tc>
        <w:tc>
          <w:tcPr>
            <w:tcW w:type="dxa" w:w="3061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8 类单证生成 + 25 条一致性校验</w:t>
            </w:r>
          </w:p>
        </w:tc>
        <w:tc>
          <w:tcPr>
            <w:tcW w:type="dxa" w:w="1928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CI / PL / BL / CO / FM 等</w:t>
            </w:r>
          </w:p>
        </w:tc>
        <w:tc>
          <w:tcPr>
            <w:tcW w:type="dxa" w:w="1247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单证员</w:t>
            </w:r>
          </w:p>
        </w:tc>
      </w:tr>
      <w:tr>
        <w:trPr>
          <w:cantSplit w:val="true"/>
        </w:trPr>
        <w:tc>
          <w:tcPr>
            <w:tcW w:type="dxa" w:w="1247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出运</w:t>
            </w:r>
          </w:p>
        </w:tc>
        <w:tc>
          <w:tcPr>
            <w:tcW w:type="dxa" w:w="2268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订舱、装柜、报关资料包</w:t>
            </w:r>
          </w:p>
        </w:tc>
        <w:tc>
          <w:tcPr>
            <w:tcW w:type="dxa" w:w="3061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出运台账、在途跟踪、回执归档</w:t>
            </w:r>
          </w:p>
        </w:tc>
        <w:tc>
          <w:tcPr>
            <w:tcW w:type="dxa" w:w="1928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提单 + 报关回执</w:t>
            </w:r>
          </w:p>
        </w:tc>
        <w:tc>
          <w:tcPr>
            <w:tcW w:type="dxa" w:w="1247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报关 / 跟单</w:t>
            </w:r>
          </w:p>
        </w:tc>
      </w:tr>
      <w:tr>
        <w:trPr>
          <w:cantSplit w:val="true"/>
        </w:trPr>
        <w:tc>
          <w:tcPr>
            <w:tcW w:type="dxa" w:w="1247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收汇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银行水单</w:t>
            </w:r>
          </w:p>
        </w:tc>
        <w:tc>
          <w:tcPr>
            <w:tcW w:type="dxa" w:w="3061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按名称、金额、币种、日期给候选</w:t>
            </w:r>
          </w:p>
        </w:tc>
        <w:tc>
          <w:tcPr>
            <w:tcW w:type="dxa" w:w="1928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认领 + 核销 + 授信更新</w:t>
            </w:r>
          </w:p>
        </w:tc>
        <w:tc>
          <w:tcPr>
            <w:tcW w:type="dxa" w:w="1247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应收会计</w:t>
            </w:r>
          </w:p>
        </w:tc>
      </w:tr>
      <w:tr>
        <w:trPr>
          <w:cantSplit w:val="true"/>
        </w:trPr>
        <w:tc>
          <w:tcPr>
            <w:tcW w:type="dxa" w:w="1247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退税</w:t>
            </w:r>
          </w:p>
        </w:tc>
        <w:tc>
          <w:tcPr>
            <w:tcW w:type="dxa" w:w="2268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报关单、进项发票、批次</w:t>
            </w:r>
          </w:p>
        </w:tc>
        <w:tc>
          <w:tcPr>
            <w:tcW w:type="dxa" w:w="3061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批次归集，缺件穿透到责任人</w:t>
            </w:r>
          </w:p>
        </w:tc>
        <w:tc>
          <w:tcPr>
            <w:tcW w:type="dxa" w:w="1928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退税批次 + 催办任务</w:t>
            </w:r>
          </w:p>
        </w:tc>
        <w:tc>
          <w:tcPr>
            <w:tcW w:type="dxa" w:w="1247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退税会计</w:t>
            </w:r>
          </w:p>
        </w:tc>
      </w:tr>
      <w:tr>
        <w:trPr>
          <w:cantSplit w:val="true"/>
        </w:trPr>
        <w:tc>
          <w:tcPr>
            <w:tcW w:type="dxa" w:w="1247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生产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订单、BOM、库存、在途</w:t>
            </w:r>
          </w:p>
        </w:tc>
        <w:tc>
          <w:tcPr>
            <w:tcW w:type="dxa" w:w="3061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MRP → 工单 → 排产 → 扫码报工</w:t>
            </w:r>
          </w:p>
        </w:tc>
        <w:tc>
          <w:tcPr>
            <w:tcW w:type="dxa" w:w="1928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工单 + 报工 + 入库</w:t>
            </w:r>
          </w:p>
        </w:tc>
        <w:tc>
          <w:tcPr>
            <w:tcW w:type="dxa" w:w="1247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计划 / 车间</w:t>
            </w:r>
          </w:p>
        </w:tc>
      </w:tr>
      <w:tr>
        <w:trPr>
          <w:cantSplit w:val="true"/>
        </w:trPr>
        <w:tc>
          <w:tcPr>
            <w:tcW w:type="dxa" w:w="1247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看板</w:t>
            </w:r>
          </w:p>
        </w:tc>
        <w:tc>
          <w:tcPr>
            <w:tcW w:type="dxa" w:w="2268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以上全部数据</w:t>
            </w:r>
          </w:p>
        </w:tc>
        <w:tc>
          <w:tcPr>
            <w:tcW w:type="dxa" w:w="3061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八项指标，两次穿透到订单级明细</w:t>
            </w:r>
          </w:p>
        </w:tc>
        <w:tc>
          <w:tcPr>
            <w:tcW w:type="dxa" w:w="1928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老板看板 / 车间大屏</w:t>
            </w:r>
          </w:p>
        </w:tc>
        <w:tc>
          <w:tcPr>
            <w:tcW w:type="dxa" w:w="1247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管理层</w:t>
            </w:r>
          </w:p>
        </w:tc>
      </w:tr>
    </w:tbl>
    <w:p>
      <w:pPr>
        <w:spacing w:before="120" w:after="40"/>
        <w:jc w:val="center"/>
      </w:pPr>
      <w:r>
        <w:drawing>
          <wp:inline xmlns:a="http://schemas.openxmlformats.org/drawingml/2006/main" xmlns:pic="http://schemas.openxmlformats.org/drawingml/2006/picture">
            <wp:extent cx="5976000" cy="336249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oc-workbench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3624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微软雅黑" w:hAnsi="微软雅黑" w:eastAsia="微软雅黑"/>
          <w:b w:val="0"/>
          <w:i w:val="0"/>
          <w:color w:val="5B6678"/>
          <w:sz w:val="17"/>
        </w:rPr>
        <w:t>首页工作台：待办、风险与关键数字按岗位推送，点任意数字可下钻</w:t>
      </w:r>
    </w:p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0A1628"/>
          <w:sz w:val="26"/>
        </w:rPr>
        <w:t>3.1 三个「同一套」</w:t>
      </w:r>
    </w:p>
    <w:p>
      <w:pPr>
        <w:spacing w:before="0" w:after="140" w:line="348" w:lineRule="auto"/>
        <w:jc w:val="both"/>
      </w:pPr>
      <w:r>
        <w:rPr>
          <w:rFonts w:ascii="微软雅黑" w:hAnsi="微软雅黑" w:eastAsia="微软雅黑"/>
          <w:b w:val="0"/>
          <w:i w:val="0"/>
          <w:color w:val="1B2432"/>
          <w:sz w:val="21"/>
        </w:rPr>
        <w:t>主线的价值不在流程画得漂亮，而在三个「同一套」：</w:t>
      </w:r>
    </w:p>
    <w:p>
      <w:pPr>
        <w:spacing w:before="0" w:after="80" w:line="336" w:lineRule="auto"/>
        <w:ind w:left="312" w:hanging="312"/>
      </w:pPr>
      <w:r>
        <w:rPr>
          <w:rFonts w:ascii="微软雅黑" w:hAnsi="微软雅黑" w:eastAsia="微软雅黑"/>
          <w:b/>
          <w:i w:val="0"/>
          <w:color w:val="F97316"/>
          <w:sz w:val="21"/>
        </w:rPr>
        <w:t xml:space="preserve">· </w:t>
      </w:r>
      <w:r>
        <w:rPr>
          <w:rFonts w:ascii="微软雅黑" w:hAnsi="微软雅黑" w:eastAsia="微软雅黑"/>
          <w:b w:val="0"/>
          <w:i w:val="0"/>
          <w:color w:val="1B2432"/>
          <w:sz w:val="21"/>
        </w:rPr>
        <w:t>同一套主数据：客户、机型、SKU、BOM、HS 编码只有一份；报价、单证、工单、退税引用同一组值，不产生第二套口径。</w:t>
      </w:r>
    </w:p>
    <w:p>
      <w:pPr>
        <w:spacing w:before="0" w:after="80" w:line="336" w:lineRule="auto"/>
        <w:ind w:left="312" w:hanging="312"/>
      </w:pPr>
      <w:r>
        <w:rPr>
          <w:rFonts w:ascii="微软雅黑" w:hAnsi="微软雅黑" w:eastAsia="微软雅黑"/>
          <w:b/>
          <w:i w:val="0"/>
          <w:color w:val="F97316"/>
          <w:sz w:val="21"/>
        </w:rPr>
        <w:t xml:space="preserve">· </w:t>
      </w:r>
      <w:r>
        <w:rPr>
          <w:rFonts w:ascii="微软雅黑" w:hAnsi="微软雅黑" w:eastAsia="微软雅黑"/>
          <w:b w:val="0"/>
          <w:i w:val="0"/>
          <w:color w:val="1B2432"/>
          <w:sz w:val="21"/>
        </w:rPr>
        <w:t>同一套单据流：订单、单证、工单、水单、退税批次互相引用；改数量、改交期、改价格都留痕，不做重复录入。</w:t>
      </w:r>
    </w:p>
    <w:p>
      <w:pPr>
        <w:spacing w:before="0" w:after="80" w:line="336" w:lineRule="auto"/>
        <w:ind w:left="312" w:hanging="312"/>
      </w:pPr>
      <w:r>
        <w:rPr>
          <w:rFonts w:ascii="微软雅黑" w:hAnsi="微软雅黑" w:eastAsia="微软雅黑"/>
          <w:b/>
          <w:i w:val="0"/>
          <w:color w:val="F97316"/>
          <w:sz w:val="21"/>
        </w:rPr>
        <w:t xml:space="preserve">· </w:t>
      </w:r>
      <w:r>
        <w:rPr>
          <w:rFonts w:ascii="微软雅黑" w:hAnsi="微软雅黑" w:eastAsia="微软雅黑"/>
          <w:b w:val="0"/>
          <w:i w:val="0"/>
          <w:color w:val="1B2432"/>
          <w:sz w:val="21"/>
        </w:rPr>
        <w:t>同一套权限：数据范围、字段级可见、菜单与操作三层授权一次配置；业务员看不到他人客户与毛利，仓管只看库存与批次。</w:t>
      </w:r>
    </w:p>
    <w:p>
      <w:pPr>
        <w:pageBreakBefore/>
        <w:spacing w:before="40" w:after="40"/>
      </w:pPr>
      <w:r>
        <w:rPr>
          <w:rFonts w:ascii="微软雅黑" w:hAnsi="微软雅黑" w:eastAsia="微软雅黑"/>
          <w:b/>
          <w:i w:val="0"/>
          <w:color w:val="F97316"/>
          <w:sz w:val="17"/>
        </w:rPr>
        <w:t>CHAPTER 04  CAPABILITY MAP</w:t>
      </w:r>
    </w:p>
    <w:p>
      <w:pPr>
        <w:spacing w:before="40" w:after="200"/>
        <w:pBdr>
          <w:bottom w:val="single" w:sz="10" w:space="6" w:color="F97316"/>
        </w:pBdr>
      </w:pPr>
      <w:r>
        <w:rPr>
          <w:rFonts w:ascii="微软雅黑" w:hAnsi="微软雅黑" w:eastAsia="微软雅黑"/>
          <w:b/>
          <w:i w:val="0"/>
          <w:color w:val="0A1628"/>
          <w:sz w:val="40"/>
        </w:rPr>
        <w:t>19 大业务域功能地图</w:t>
      </w:r>
    </w:p>
    <w:p>
      <w:pPr>
        <w:spacing w:before="0" w:after="140" w:line="348" w:lineRule="auto"/>
        <w:jc w:val="both"/>
      </w:pPr>
      <w:r>
        <w:rPr>
          <w:rFonts w:ascii="微软雅黑" w:hAnsi="微软雅黑" w:eastAsia="微软雅黑"/>
          <w:b w:val="0"/>
          <w:i w:val="0"/>
          <w:color w:val="1B2432"/>
          <w:sz w:val="21"/>
        </w:rPr>
        <w:t>19 个业务域与权限模块一一对应，共 208 个功能入口、20 个导航分组。下表按系统左侧导航顺序排列，「关键入口」列可在演示环境直接找到；完整 208 条清单见随附 Excel。</w:t>
      </w:r>
    </w:p>
    <w:tbl>
      <w:tblPr>
        <w:tblW w:type="dxa" w:w="9412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CE2EC"/>
          <w:left w:val="single" w:sz="4" w:space="0" w:color="DCE2EC"/>
          <w:bottom w:val="single" w:sz="4" w:space="0" w:color="DCE2EC"/>
          <w:right w:val="single" w:sz="4" w:space="0" w:color="DCE2EC"/>
          <w:insideH w:val="single" w:sz="4" w:space="0" w:color="DCE2EC"/>
          <w:insideV w:val="single" w:sz="4" w:space="0" w:color="DCE2EC"/>
        </w:tblBorders>
        <w:tblCellMar>
          <w:top w:w="40" w:type="dxa"/>
          <w:bottom w:w="40" w:type="dxa"/>
          <w:left w:w="90" w:type="dxa"/>
          <w:right w:w="90" w:type="dxa"/>
        </w:tblCellMar>
      </w:tblPr>
      <w:tblGrid>
        <w:gridCol w:w="510"/>
        <w:gridCol w:w="1701"/>
        <w:gridCol w:w="2268"/>
        <w:gridCol w:w="3742"/>
        <w:gridCol w:w="1190"/>
      </w:tblGrid>
      <w:tr>
        <w:trPr>
          <w:tblHeader w:val="true"/>
        </w:trPr>
        <w:tc>
          <w:tcPr>
            <w:tcW w:type="dxa" w:w="510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#</w:t>
            </w:r>
          </w:p>
        </w:tc>
        <w:tc>
          <w:tcPr>
            <w:tcW w:type="dxa" w:w="1701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业务域</w:t>
            </w:r>
          </w:p>
        </w:tc>
        <w:tc>
          <w:tcPr>
            <w:tcW w:type="dxa" w:w="2268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一句话定位</w:t>
            </w:r>
          </w:p>
        </w:tc>
        <w:tc>
          <w:tcPr>
            <w:tcW w:type="dxa" w:w="3742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关键入口（示例）</w:t>
            </w:r>
          </w:p>
        </w:tc>
        <w:tc>
          <w:tcPr>
            <w:tcW w:type="dxa" w:w="1191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规模 / 口径</w:t>
            </w:r>
          </w:p>
        </w:tc>
      </w:tr>
      <w:tr>
        <w:trPr>
          <w:cantSplit w:val="true"/>
        </w:trPr>
        <w:tc>
          <w:tcPr>
            <w:tcW w:type="dxa" w:w="510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01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工作台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今天该干什么，一屏说清</w:t>
            </w:r>
          </w:p>
        </w:tc>
        <w:tc>
          <w:tcPr>
            <w:tcW w:type="dxa" w:w="3742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首页工作台按岗位推送待办与风险；老板看板 / 经营分析 / 企业画像</w:t>
            </w:r>
          </w:p>
        </w:tc>
        <w:tc>
          <w:tcPr>
            <w:tcW w:type="dxa" w:w="1191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20+ 块看板与工作台，8 个指标域</w:t>
            </w:r>
          </w:p>
        </w:tc>
      </w:tr>
      <w:tr>
        <w:trPr>
          <w:cantSplit w:val="true"/>
        </w:trPr>
        <w:tc>
          <w:tcPr>
            <w:tcW w:type="dxa" w:w="510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02</w:t>
            </w:r>
          </w:p>
        </w:tc>
        <w:tc>
          <w:tcPr>
            <w:tcW w:type="dxa" w:w="1701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AI 智能中心</w:t>
            </w:r>
          </w:p>
        </w:tc>
        <w:tc>
          <w:tcPr>
            <w:tcW w:type="dxa" w:w="2268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12 项能力，人在回路</w:t>
            </w:r>
          </w:p>
        </w:tc>
        <w:tc>
          <w:tcPr>
            <w:tcW w:type="dxa" w:w="3742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AI 下单：一封邮件解析成 12 个字段；AI 报价 / AI 单证预检 / AI 排班</w:t>
            </w:r>
          </w:p>
        </w:tc>
        <w:tc>
          <w:tcPr>
            <w:tcW w:type="dxa" w:w="1191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12 项能力 / 10 项已上线</w:t>
            </w:r>
          </w:p>
        </w:tc>
      </w:tr>
      <w:tr>
        <w:trPr>
          <w:cantSplit w:val="true"/>
        </w:trPr>
        <w:tc>
          <w:tcPr>
            <w:tcW w:type="dxa" w:w="510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03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新品开品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立项到试产，成本先算清</w:t>
            </w:r>
          </w:p>
        </w:tc>
        <w:tc>
          <w:tcPr>
            <w:tcW w:type="dxa" w:w="3742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需求 → 立项 → 设计 → 成本 → 报价 → 试产；目标成本与阶梯报价联动</w:t>
            </w:r>
          </w:p>
        </w:tc>
        <w:tc>
          <w:tcPr>
            <w:tcW w:type="dxa" w:w="1191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6 段流程，签字位到人</w:t>
            </w:r>
          </w:p>
        </w:tc>
      </w:tr>
      <w:tr>
        <w:trPr>
          <w:cantSplit w:val="true"/>
        </w:trPr>
        <w:tc>
          <w:tcPr>
            <w:tcW w:type="dxa" w:w="510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04</w:t>
            </w:r>
          </w:p>
        </w:tc>
        <w:tc>
          <w:tcPr>
            <w:tcW w:type="dxa" w:w="1701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贸易与客户</w:t>
            </w:r>
          </w:p>
        </w:tc>
        <w:tc>
          <w:tcPr>
            <w:tcW w:type="dxa" w:w="2268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询盘 24 小时，报价不破线</w:t>
            </w:r>
          </w:p>
        </w:tc>
        <w:tc>
          <w:tcPr>
            <w:tcW w:type="dxa" w:w="3742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询盘池与 24 小时 SLA 预警；报价右侧 12 项成本卡，退税收益作减项</w:t>
            </w:r>
          </w:p>
        </w:tc>
        <w:tc>
          <w:tcPr>
            <w:tcW w:type="dxa" w:w="1191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10 个入口，询盘→报价→认证闭环</w:t>
            </w:r>
          </w:p>
        </w:tc>
      </w:tr>
      <w:tr>
        <w:trPr>
          <w:cantSplit w:val="true"/>
        </w:trPr>
        <w:tc>
          <w:tcPr>
            <w:tcW w:type="dxa" w:w="510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05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订单与单证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出单前就知道会被哪条规则拦</w:t>
            </w:r>
          </w:p>
        </w:tc>
        <w:tc>
          <w:tcPr>
            <w:tcW w:type="dxa" w:w="3742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订单节点时间轴，11 个节点逐个签；放货规则引擎，订金比例现场可调</w:t>
            </w:r>
          </w:p>
        </w:tc>
        <w:tc>
          <w:tcPr>
            <w:tcW w:type="dxa" w:w="1191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25 条规则 / 14 条自动</w:t>
            </w:r>
          </w:p>
        </w:tc>
      </w:tr>
      <w:tr>
        <w:trPr>
          <w:cantSplit w:val="true"/>
        </w:trPr>
        <w:tc>
          <w:tcPr>
            <w:tcW w:type="dxa" w:w="510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06</w:t>
            </w:r>
          </w:p>
        </w:tc>
        <w:tc>
          <w:tcPr>
            <w:tcW w:type="dxa" w:w="1701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出运与物流</w:t>
            </w:r>
          </w:p>
        </w:tc>
        <w:tc>
          <w:tcPr>
            <w:tcW w:type="dxa" w:w="2268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从订舱到到港，节点可追</w:t>
            </w:r>
          </w:p>
        </w:tc>
        <w:tc>
          <w:tcPr>
            <w:tcW w:type="dxa" w:w="3742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订舱、装箱、装柜与出运台账；报关资料包与回执</w:t>
            </w:r>
          </w:p>
        </w:tc>
        <w:tc>
          <w:tcPr>
            <w:tcW w:type="dxa" w:w="1191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3 个入口，衔接单证与财务</w:t>
            </w:r>
          </w:p>
        </w:tc>
      </w:tr>
      <w:tr>
        <w:trPr>
          <w:cantSplit w:val="true"/>
        </w:trPr>
        <w:tc>
          <w:tcPr>
            <w:tcW w:type="dxa" w:w="510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07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平台渠道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第二条出货口，账也算得清</w:t>
            </w:r>
          </w:p>
        </w:tc>
        <w:tc>
          <w:tcPr>
            <w:tcW w:type="dxa" w:w="3742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店铺与平台刊登管理；可售量与平台库存同步</w:t>
            </w:r>
          </w:p>
        </w:tc>
        <w:tc>
          <w:tcPr>
            <w:tcW w:type="dxa" w:w="1191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7 个入口，零售与外贸分开核算</w:t>
            </w:r>
          </w:p>
        </w:tc>
      </w:tr>
      <w:tr>
        <w:trPr>
          <w:cantSplit w:val="true"/>
        </w:trPr>
        <w:tc>
          <w:tcPr>
            <w:tcW w:type="dxa" w:w="510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08</w:t>
            </w:r>
          </w:p>
        </w:tc>
        <w:tc>
          <w:tcPr>
            <w:tcW w:type="dxa" w:w="1701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财务与税务</w:t>
            </w:r>
          </w:p>
        </w:tc>
        <w:tc>
          <w:tcPr>
            <w:tcW w:type="dxa" w:w="2268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这笔钱是谁的，款到哪一单</w:t>
            </w:r>
          </w:p>
        </w:tc>
        <w:tc>
          <w:tcPr>
            <w:tcW w:type="dxa" w:w="3742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水单智能匹配 + 人工认领；应收账龄与坏账预警</w:t>
            </w:r>
          </w:p>
        </w:tc>
        <w:tc>
          <w:tcPr>
            <w:tcW w:type="dxa" w:w="1191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7 个入口，收汇到退税闭环</w:t>
            </w:r>
          </w:p>
        </w:tc>
      </w:tr>
      <w:tr>
        <w:trPr>
          <w:cantSplit w:val="true"/>
        </w:trPr>
        <w:tc>
          <w:tcPr>
            <w:tcW w:type="dxa" w:w="510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09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应付与成本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每一分成本都能落到单</w:t>
            </w:r>
          </w:p>
        </w:tc>
        <w:tc>
          <w:tcPr>
            <w:tcW w:type="dxa" w:w="3742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采购应付、费用与付款计划；成本归集与分摊</w:t>
            </w:r>
          </w:p>
        </w:tc>
        <w:tc>
          <w:tcPr>
            <w:tcW w:type="dxa" w:w="1191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24 个入口，最细的一组</w:t>
            </w:r>
          </w:p>
        </w:tc>
      </w:tr>
      <w:tr>
        <w:trPr>
          <w:cantSplit w:val="true"/>
        </w:trPr>
        <w:tc>
          <w:tcPr>
            <w:tcW w:type="dxa" w:w="510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10</w:t>
            </w:r>
          </w:p>
        </w:tc>
        <w:tc>
          <w:tcPr>
            <w:tcW w:type="dxa" w:w="1701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采购与计划（MRP）</w:t>
            </w:r>
          </w:p>
        </w:tc>
        <w:tc>
          <w:tcPr>
            <w:tcW w:type="dxa" w:w="2268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交期是算出来的</w:t>
            </w:r>
          </w:p>
        </w:tc>
        <w:tc>
          <w:tcPr>
            <w:tcW w:type="dxa" w:w="3742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MRP 运算：按单、按库存、按预测；请购、采购订单与到货计划</w:t>
            </w:r>
          </w:p>
        </w:tc>
        <w:tc>
          <w:tcPr>
            <w:tcW w:type="dxa" w:w="1191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13 个入口，齐套到工单</w:t>
            </w:r>
          </w:p>
        </w:tc>
      </w:tr>
      <w:tr>
        <w:trPr>
          <w:cantSplit w:val="true"/>
        </w:trPr>
        <w:tc>
          <w:tcPr>
            <w:tcW w:type="dxa" w:w="510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11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生产制造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车间不再是黑箱</w:t>
            </w:r>
          </w:p>
        </w:tc>
        <w:tc>
          <w:tcPr>
            <w:tcW w:type="dxa" w:w="3742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工单、工艺路线与排产；扫码报工、不良与返工</w:t>
            </w:r>
          </w:p>
        </w:tc>
        <w:tc>
          <w:tcPr>
            <w:tcW w:type="dxa" w:w="1191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24 个入口，报工到工序</w:t>
            </w:r>
          </w:p>
        </w:tc>
      </w:tr>
      <w:tr>
        <w:trPr>
          <w:cantSplit w:val="true"/>
        </w:trPr>
        <w:tc>
          <w:tcPr>
            <w:tcW w:type="dxa" w:w="510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12</w:t>
            </w:r>
          </w:p>
        </w:tc>
        <w:tc>
          <w:tcPr>
            <w:tcW w:type="dxa" w:w="1701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仓储与质量</w:t>
            </w:r>
          </w:p>
        </w:tc>
        <w:tc>
          <w:tcPr>
            <w:tcW w:type="dxa" w:w="2268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批次进、批次出、批次可追</w:t>
            </w:r>
          </w:p>
        </w:tc>
        <w:tc>
          <w:tcPr>
            <w:tcW w:type="dxa" w:w="3742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收货上架、拣货、预拣与装箱；装柜、移库、盘点与调整</w:t>
            </w:r>
          </w:p>
        </w:tc>
        <w:tc>
          <w:tcPr>
            <w:tcW w:type="dxa" w:w="1191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22 个入口，5,003 个批次</w:t>
            </w:r>
          </w:p>
        </w:tc>
      </w:tr>
      <w:tr>
        <w:trPr>
          <w:cantSplit w:val="true"/>
        </w:trPr>
        <w:tc>
          <w:tcPr>
            <w:tcW w:type="dxa" w:w="510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13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质量管理（IQC/FQC）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问题追到根因，范围说得清</w:t>
            </w:r>
          </w:p>
        </w:tc>
        <w:tc>
          <w:tcPr>
            <w:tcW w:type="dxa" w:w="3742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IQC / FQC 检验与判定；NCR 不合格品与 8D 报告</w:t>
            </w:r>
          </w:p>
        </w:tc>
        <w:tc>
          <w:tcPr>
            <w:tcW w:type="dxa" w:w="1191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11 个入口，追溯链路完整</w:t>
            </w:r>
          </w:p>
        </w:tc>
      </w:tr>
      <w:tr>
        <w:trPr>
          <w:cantSplit w:val="true"/>
        </w:trPr>
        <w:tc>
          <w:tcPr>
            <w:tcW w:type="dxa" w:w="510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14</w:t>
            </w:r>
          </w:p>
        </w:tc>
        <w:tc>
          <w:tcPr>
            <w:tcW w:type="dxa" w:w="1701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主数据</w:t>
            </w:r>
          </w:p>
        </w:tc>
        <w:tc>
          <w:tcPr>
            <w:tcW w:type="dxa" w:w="2268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一套口径，全系统共用</w:t>
            </w:r>
          </w:p>
        </w:tc>
        <w:tc>
          <w:tcPr>
            <w:tcW w:type="dxa" w:w="3742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产品线、机型、SKU 与 BOM；客户、供应商、联系人</w:t>
            </w:r>
          </w:p>
        </w:tc>
        <w:tc>
          <w:tcPr>
            <w:tcW w:type="dxa" w:w="1191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8 个入口，主数据体检可打分</w:t>
            </w:r>
          </w:p>
        </w:tc>
      </w:tr>
      <w:tr>
        <w:trPr>
          <w:cantSplit w:val="true"/>
        </w:trPr>
        <w:tc>
          <w:tcPr>
            <w:tcW w:type="dxa" w:w="510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15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协同办公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待办不丢，通知到人</w:t>
            </w:r>
          </w:p>
        </w:tc>
        <w:tc>
          <w:tcPr>
            <w:tcW w:type="dxa" w:w="3742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待办、任务与任务日志；通知公告与已读回执</w:t>
            </w:r>
          </w:p>
        </w:tc>
        <w:tc>
          <w:tcPr>
            <w:tcW w:type="dxa" w:w="1191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10 个入口，与业务单据联动</w:t>
            </w:r>
          </w:p>
        </w:tc>
      </w:tr>
      <w:tr>
        <w:trPr>
          <w:cantSplit w:val="true"/>
        </w:trPr>
        <w:tc>
          <w:tcPr>
            <w:tcW w:type="dxa" w:w="510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16</w:t>
            </w:r>
          </w:p>
        </w:tc>
        <w:tc>
          <w:tcPr>
            <w:tcW w:type="dxa" w:w="1701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人事薪酬</w:t>
            </w:r>
          </w:p>
        </w:tc>
        <w:tc>
          <w:tcPr>
            <w:tcW w:type="dxa" w:w="2268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计件工资，算得明白</w:t>
            </w:r>
          </w:p>
        </w:tc>
        <w:tc>
          <w:tcPr>
            <w:tcW w:type="dxa" w:w="3742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员工、合同与证照；考勤、请假与排班</w:t>
            </w:r>
          </w:p>
        </w:tc>
        <w:tc>
          <w:tcPr>
            <w:tcW w:type="dxa" w:w="1191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12 个入口，仅管理层与计件岗可见</w:t>
            </w:r>
          </w:p>
        </w:tc>
      </w:tr>
      <w:tr>
        <w:trPr>
          <w:cantSplit w:val="true"/>
        </w:trPr>
        <w:tc>
          <w:tcPr>
            <w:tcW w:type="dxa" w:w="510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17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平台化配置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不写代码，改字段和规则</w:t>
            </w:r>
          </w:p>
        </w:tc>
        <w:tc>
          <w:tcPr>
            <w:tcW w:type="dxa" w:w="3742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自定义字段与自定义值；编号规则与打印模板</w:t>
            </w:r>
          </w:p>
        </w:tc>
        <w:tc>
          <w:tcPr>
            <w:tcW w:type="dxa" w:w="1191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8 个入口，交付期即可配</w:t>
            </w:r>
          </w:p>
        </w:tc>
      </w:tr>
      <w:tr>
        <w:trPr>
          <w:cantSplit w:val="true"/>
        </w:trPr>
        <w:tc>
          <w:tcPr>
            <w:tcW w:type="dxa" w:w="510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18</w:t>
            </w:r>
          </w:p>
        </w:tc>
        <w:tc>
          <w:tcPr>
            <w:tcW w:type="dxa" w:w="1701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系统与设置</w:t>
            </w:r>
          </w:p>
        </w:tc>
        <w:tc>
          <w:tcPr>
            <w:tcW w:type="dxa" w:w="2268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权限、审计、可交付</w:t>
            </w:r>
          </w:p>
        </w:tc>
        <w:tc>
          <w:tcPr>
            <w:tcW w:type="dxa" w:w="3742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用户、角色与权限矩阵；数据范围与字段级可见</w:t>
            </w:r>
          </w:p>
        </w:tc>
        <w:tc>
          <w:tcPr>
            <w:tcW w:type="dxa" w:w="1191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12 个入口，696 格权限可视</w:t>
            </w:r>
          </w:p>
        </w:tc>
      </w:tr>
      <w:tr>
        <w:trPr>
          <w:cantSplit w:val="true"/>
        </w:trPr>
        <w:tc>
          <w:tcPr>
            <w:tcW w:type="dxa" w:w="510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19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只读参考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规则与字典，随时可查</w:t>
            </w:r>
          </w:p>
        </w:tc>
        <w:tc>
          <w:tcPr>
            <w:tcW w:type="dxa" w:w="3742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数据字典与枚举说明；规则口径与演示说明</w:t>
            </w:r>
          </w:p>
        </w:tc>
        <w:tc>
          <w:tcPr>
            <w:tcW w:type="dxa" w:w="1191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6 个入口，只读不改数</w:t>
            </w:r>
          </w:p>
        </w:tc>
      </w:tr>
    </w:tbl>
    <w:tbl>
      <w:tblPr>
        <w:tblW w:type="dxa" w:w="9412"/>
        <w:jc w:val="center"/>
        <w:tblLayout w:type="fixed"/>
        <w:tblLook w:firstColumn="1" w:firstRow="1" w:lastColumn="0" w:lastRow="0" w:noHBand="0" w:noVBand="1" w:val="04A0"/>
        <w:tblCellMar>
          <w:top w:w="120" w:type="dxa"/>
          <w:bottom w:w="120" w:type="dxa"/>
          <w:left w:w="160" w:type="dxa"/>
          <w:right w:w="160" w:type="dxa"/>
        </w:tblCellMar>
        <w:tblBorders>
          <w:top w:val="single" w:sz="1" w:space="0" w:color="FFF1E6"/>
          <w:left w:val="single" w:sz="1" w:space="0" w:color="FFF1E6"/>
          <w:bottom w:val="single" w:sz="1" w:space="0" w:color="FFF1E6"/>
          <w:right w:val="single" w:sz="1" w:space="0" w:color="FFF1E6"/>
          <w:insideH w:val="single" w:sz="1" w:space="0" w:color="FFF1E6"/>
          <w:insideV w:val="single" w:sz="1" w:space="0" w:color="FFF1E6"/>
        </w:tblBorders>
      </w:tblPr>
      <w:tblGrid>
        <w:gridCol w:w="9412"/>
      </w:tblGrid>
      <w:tr>
        <w:tc>
          <w:tcPr>
            <w:tcW w:type="dxa" w:w="9411"/>
            <w:shd w:val="clear" w:color="auto" w:fill="FFF1E6"/>
          </w:tcPr>
          <w:p>
            <w:pPr>
              <w:spacing w:after="40"/>
            </w:pPr>
            <w:r>
              <w:rPr>
                <w:rFonts w:ascii="微软雅黑" w:hAnsi="微软雅黑" w:eastAsia="微软雅黑"/>
                <w:b/>
                <w:i w:val="0"/>
                <w:color w:val="8A4B12"/>
                <w:sz w:val="19"/>
              </w:rPr>
              <w:t>关于「19」与「20」</w:t>
            </w:r>
          </w:p>
          <w:p>
            <w:pPr>
              <w:spacing w:after="0" w:line="336" w:lineRule="auto"/>
            </w:pPr>
            <w:r>
              <w:rPr>
                <w:rFonts w:ascii="微软雅黑" w:hAnsi="微软雅黑" w:eastAsia="微软雅黑"/>
                <w:b w:val="0"/>
                <w:i w:val="0"/>
                <w:color w:val="8A4B12"/>
                <w:sz w:val="18"/>
              </w:rPr>
              <w:t>权限模块是 19 个（RolePerm::MODULES）；左侧导航分 20 个分组，因为「工作台」与「专项看板」同属 workbench，但在导航上分成两组展示。两个数字都对，口径不同。</w:t>
            </w:r>
          </w:p>
        </w:tc>
      </w:tr>
    </w:tbl>
    <w:p>
      <w:pPr>
        <w:spacing w:after="40"/>
      </w:pPr>
    </w:p>
    <w:p>
      <w:pPr>
        <w:pageBreakBefore/>
        <w:spacing w:before="40" w:after="40"/>
      </w:pPr>
      <w:r>
        <w:rPr>
          <w:rFonts w:ascii="微软雅黑" w:hAnsi="微软雅黑" w:eastAsia="微软雅黑"/>
          <w:b/>
          <w:i w:val="0"/>
          <w:color w:val="F97316"/>
          <w:sz w:val="17"/>
        </w:rPr>
        <w:t>CHAPTER 05  SIGNATURE MOVES</w:t>
      </w:r>
    </w:p>
    <w:p>
      <w:pPr>
        <w:spacing w:before="40" w:after="200"/>
        <w:pBdr>
          <w:bottom w:val="single" w:sz="10" w:space="6" w:color="F97316"/>
        </w:pBdr>
      </w:pPr>
      <w:r>
        <w:rPr>
          <w:rFonts w:ascii="微软雅黑" w:hAnsi="微软雅黑" w:eastAsia="微软雅黑"/>
          <w:b/>
          <w:i w:val="0"/>
          <w:color w:val="0A1628"/>
          <w:sz w:val="40"/>
        </w:rPr>
        <w:t>八个招牌动作</w:t>
      </w:r>
    </w:p>
    <w:p>
      <w:pPr>
        <w:spacing w:before="0" w:after="140" w:line="348" w:lineRule="auto"/>
        <w:jc w:val="both"/>
      </w:pPr>
      <w:r>
        <w:rPr>
          <w:rFonts w:ascii="微软雅黑" w:hAnsi="微软雅黑" w:eastAsia="微软雅黑"/>
          <w:b w:val="0"/>
          <w:i w:val="0"/>
          <w:color w:val="1B2432"/>
          <w:sz w:val="21"/>
        </w:rPr>
        <w:t>这八个动作，是客户最常追问、也最容易现场验证的部分。演示时不要按菜单顺序讲，按客户最痛的那一条直接进；讲完一定让客户自己点一次。</w:t>
      </w:r>
    </w:p>
    <w:tbl>
      <w:tblPr>
        <w:tblW w:type="dxa" w:w="997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CE2EC"/>
          <w:left w:val="single" w:sz="4" w:space="0" w:color="DCE2EC"/>
          <w:bottom w:val="single" w:sz="4" w:space="0" w:color="DCE2EC"/>
          <w:right w:val="single" w:sz="4" w:space="0" w:color="DCE2EC"/>
          <w:insideH w:val="single" w:sz="4" w:space="0" w:color="DCE2EC"/>
          <w:insideV w:val="single" w:sz="4" w:space="0" w:color="DCE2EC"/>
        </w:tblBorders>
        <w:tblCellMar>
          <w:top w:w="40" w:type="dxa"/>
          <w:bottom w:w="40" w:type="dxa"/>
          <w:left w:w="90" w:type="dxa"/>
          <w:right w:w="90" w:type="dxa"/>
        </w:tblCellMar>
      </w:tblPr>
      <w:tblGrid>
        <w:gridCol w:w="453"/>
        <w:gridCol w:w="1530"/>
        <w:gridCol w:w="1701"/>
        <w:gridCol w:w="1701"/>
        <w:gridCol w:w="2835"/>
        <w:gridCol w:w="1757"/>
      </w:tblGrid>
      <w:tr>
        <w:trPr>
          <w:tblHeader w:val="true"/>
        </w:trPr>
        <w:tc>
          <w:tcPr>
            <w:tcW w:type="dxa" w:w="454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#</w:t>
            </w:r>
          </w:p>
        </w:tc>
        <w:tc>
          <w:tcPr>
            <w:tcW w:type="dxa" w:w="1531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招牌动作</w:t>
            </w:r>
          </w:p>
        </w:tc>
        <w:tc>
          <w:tcPr>
            <w:tcW w:type="dxa" w:w="1701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系统入口</w:t>
            </w:r>
          </w:p>
        </w:tc>
        <w:tc>
          <w:tcPr>
            <w:tcW w:type="dxa" w:w="1701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客户常问</w:t>
            </w:r>
          </w:p>
        </w:tc>
        <w:tc>
          <w:tcPr>
            <w:tcW w:type="dxa" w:w="2835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系统怎么答</w:t>
            </w:r>
          </w:p>
        </w:tc>
        <w:tc>
          <w:tcPr>
            <w:tcW w:type="dxa" w:w="1757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现场怎么验证</w:t>
            </w:r>
          </w:p>
        </w:tc>
      </w:tr>
      <w:tr>
        <w:trPr>
          <w:cantSplit w:val="true"/>
        </w:trPr>
        <w:tc>
          <w:tcPr>
            <w:tcW w:type="dxa" w:w="454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5"/>
              </w:rPr>
              <w:t>01</w:t>
            </w:r>
          </w:p>
        </w:tc>
        <w:tc>
          <w:tcPr>
            <w:tcW w:type="dxa" w:w="1531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12 项成本卡报价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贸易与客户 → 报价 → 成本卡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这个价还有多少让利空间？退税算进去了吗？</w:t>
            </w:r>
          </w:p>
        </w:tc>
        <w:tc>
          <w:tcPr>
            <w:tcW w:type="dxa" w:w="2835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原材料、外购件、委外、人工、制造费用、包装、认证摊销、国内运费、报关、海运、保险逐项列，退税收益作为减项单列，毛利实时算。</w:t>
            </w:r>
          </w:p>
        </w:tc>
        <w:tc>
          <w:tcPr>
            <w:tcW w:type="dxa" w:w="1757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现场改一项海运费用，毛利与建议报价同时变。</w:t>
            </w:r>
          </w:p>
        </w:tc>
      </w:tr>
      <w:tr>
        <w:trPr>
          <w:cantSplit w:val="true"/>
        </w:trPr>
        <w:tc>
          <w:tcPr>
            <w:tcW w:type="dxa" w:w="454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5"/>
              </w:rPr>
              <w:t>02</w:t>
            </w:r>
          </w:p>
        </w:tc>
        <w:tc>
          <w:tcPr>
            <w:tcW w:type="dxa" w:w="1531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单证一致性校验</w:t>
            </w:r>
          </w:p>
        </w:tc>
        <w:tc>
          <w:tcPr>
            <w:tcW w:type="dxa" w:w="1701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订单与单证 → 单证工作台 → 校验详情</w:t>
            </w:r>
          </w:p>
        </w:tc>
        <w:tc>
          <w:tcPr>
            <w:tcW w:type="dxa" w:w="1701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货到港才发现箱数不对，你们怎么防？</w:t>
            </w:r>
          </w:p>
        </w:tc>
        <w:tc>
          <w:tcPr>
            <w:tcW w:type="dxa" w:w="2835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8 类单证一键生成，25 条规则逐条判定（14 条自动）：箱数、金额、币种、品名、毛净重、体积、HS 编码、日期先后、收货人一致性，阻断项不签章。</w:t>
            </w:r>
          </w:p>
        </w:tc>
        <w:tc>
          <w:tcPr>
            <w:tcW w:type="dxa" w:w="1757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把装箱单箱数改错，校验立刻红色阻断，改回即通过。</w:t>
            </w:r>
          </w:p>
        </w:tc>
      </w:tr>
      <w:tr>
        <w:trPr>
          <w:cantSplit w:val="true"/>
        </w:trPr>
        <w:tc>
          <w:tcPr>
            <w:tcW w:type="dxa" w:w="454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5"/>
              </w:rPr>
              <w:t>03</w:t>
            </w:r>
          </w:p>
        </w:tc>
        <w:tc>
          <w:tcPr>
            <w:tcW w:type="dxa" w:w="1531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水单智能匹配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财务与税务 → 水单认领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一笔款到了，怎么知道是哪张单？</w:t>
            </w:r>
          </w:p>
        </w:tc>
        <w:tc>
          <w:tcPr>
            <w:tcW w:type="dxa" w:w="2835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按付款人名称、金额、币种、日期邻近给候选订单与匹配度，支持一笔款拆多单、手续费差额解释；必须人工确认才核销。</w:t>
            </w:r>
          </w:p>
        </w:tc>
        <w:tc>
          <w:tcPr>
            <w:tcW w:type="dxa" w:w="1757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点未认领水单，看候选与匹配度，再点认领，授信与账龄同步更新。</w:t>
            </w:r>
          </w:p>
        </w:tc>
      </w:tr>
      <w:tr>
        <w:trPr>
          <w:cantSplit w:val="true"/>
        </w:trPr>
        <w:tc>
          <w:tcPr>
            <w:tcW w:type="dxa" w:w="454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5"/>
              </w:rPr>
              <w:t>04</w:t>
            </w:r>
          </w:p>
        </w:tc>
        <w:tc>
          <w:tcPr>
            <w:tcW w:type="dxa" w:w="1531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退税缺件穿透</w:t>
            </w:r>
          </w:p>
        </w:tc>
        <w:tc>
          <w:tcPr>
            <w:tcW w:type="dxa" w:w="1701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财务与税务 → 退税管理 → 缺件清单</w:t>
            </w:r>
          </w:p>
        </w:tc>
        <w:tc>
          <w:tcPr>
            <w:tcW w:type="dxa" w:w="1701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退税为什么会作废？卡在谁那里？</w:t>
            </w:r>
          </w:p>
        </w:tc>
        <w:tc>
          <w:tcPr>
            <w:tcW w:type="dxa" w:w="2835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每个批次列出缺件项、责任方、责任人、剩余天数与状态，按剩余天数排序，可一键催办与升级。</w:t>
            </w:r>
          </w:p>
        </w:tc>
        <w:tc>
          <w:tcPr>
            <w:tcW w:type="dxa" w:w="1757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点最紧急批次，缺件逐条到人，现场点一次催办。</w:t>
            </w:r>
          </w:p>
        </w:tc>
      </w:tr>
      <w:tr>
        <w:trPr>
          <w:cantSplit w:val="true"/>
        </w:trPr>
        <w:tc>
          <w:tcPr>
            <w:tcW w:type="dxa" w:w="454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5"/>
              </w:rPr>
              <w:t>05</w:t>
            </w:r>
          </w:p>
        </w:tc>
        <w:tc>
          <w:tcPr>
            <w:tcW w:type="dxa" w:w="1531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MRP + 插单影响模拟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采购与计划 → MRP / 插单影响模拟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客户要插单，原来的单会不会延？</w:t>
            </w:r>
          </w:p>
        </w:tc>
        <w:tc>
          <w:tcPr>
            <w:tcW w:type="dxa" w:w="2835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MRP 按工单、库存与在途算净需求；插单模拟给出受影响工单、原交期 vs 影响后交期、产能占用与明确答复交期。</w:t>
            </w:r>
          </w:p>
        </w:tc>
        <w:tc>
          <w:tcPr>
            <w:tcW w:type="dxa" w:w="1757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输入插单数量与车间，看被顺延的工单清单与答复日期。</w:t>
            </w:r>
          </w:p>
        </w:tc>
      </w:tr>
      <w:tr>
        <w:trPr>
          <w:cantSplit w:val="true"/>
        </w:trPr>
        <w:tc>
          <w:tcPr>
            <w:tcW w:type="dxa" w:w="454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5"/>
              </w:rPr>
              <w:t>06</w:t>
            </w:r>
          </w:p>
        </w:tc>
        <w:tc>
          <w:tcPr>
            <w:tcW w:type="dxa" w:w="1531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扫码报工 + 车间大屏</w:t>
            </w:r>
          </w:p>
        </w:tc>
        <w:tc>
          <w:tcPr>
            <w:tcW w:type="dxa" w:w="1701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生产制造 → 报工 / 车间实时大屏</w:t>
            </w:r>
          </w:p>
        </w:tc>
        <w:tc>
          <w:tcPr>
            <w:tcW w:type="dxa" w:w="1701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车间到底做到哪一步了？</w:t>
            </w:r>
          </w:p>
        </w:tc>
        <w:tc>
          <w:tcPr>
            <w:tcW w:type="dxa" w:w="2835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平板或手机扫工单码，选工序、填合格与不良数，提交即回写工单进度；车间大屏 5 秒刷新产量、达成率与异常。</w:t>
            </w:r>
          </w:p>
        </w:tc>
        <w:tc>
          <w:tcPr>
            <w:tcW w:type="dxa" w:w="1757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把平板递给客户自己扫一次，等 5 秒看大屏数字变化。</w:t>
            </w:r>
          </w:p>
        </w:tc>
      </w:tr>
      <w:tr>
        <w:trPr>
          <w:cantSplit w:val="true"/>
        </w:trPr>
        <w:tc>
          <w:tcPr>
            <w:tcW w:type="dxa" w:w="454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5"/>
              </w:rPr>
              <w:t>07</w:t>
            </w:r>
          </w:p>
        </w:tc>
        <w:tc>
          <w:tcPr>
            <w:tcW w:type="dxa" w:w="1531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老板看板八个数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工作台 → 老板看板 / 老板经营驾驶舱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我只要八个数字，能不能点到底？</w:t>
            </w:r>
          </w:p>
        </w:tc>
        <w:tc>
          <w:tcPr>
            <w:tcW w:type="dxa" w:w="2835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在手订单与收入、平均毛利、现金与应收、退税在途、准交率、不良率、库存与呆滞、风险哨兵；任意数字两次穿透到订单级明细。</w:t>
            </w:r>
          </w:p>
        </w:tc>
        <w:tc>
          <w:tcPr>
            <w:tcW w:type="dxa" w:w="1757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点「现金与应收」→ 水单 → 客户，两级穿透到明细。</w:t>
            </w:r>
          </w:p>
        </w:tc>
      </w:tr>
      <w:tr>
        <w:trPr>
          <w:cantSplit w:val="true"/>
        </w:trPr>
        <w:tc>
          <w:tcPr>
            <w:tcW w:type="dxa" w:w="454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5"/>
              </w:rPr>
              <w:t>08</w:t>
            </w:r>
          </w:p>
        </w:tc>
        <w:tc>
          <w:tcPr>
            <w:tcW w:type="dxa" w:w="1531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29 角色 696 格权限</w:t>
            </w:r>
          </w:p>
        </w:tc>
        <w:tc>
          <w:tcPr>
            <w:tcW w:type="dxa" w:w="1701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系统与设置 → 角色权限矩阵</w:t>
            </w:r>
          </w:p>
        </w:tc>
        <w:tc>
          <w:tcPr>
            <w:tcW w:type="dxa" w:w="1701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业务员能不能看到别人的客户和毛利？</w:t>
            </w:r>
          </w:p>
        </w:tc>
        <w:tc>
          <w:tcPr>
            <w:tcW w:type="dxa" w:w="2835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三层授权：数据范围（全部 / 本部门 / 本人）、字段级可见、菜单与操作（19 模块 × 5 动作 = 696 格），逐格可改。</w:t>
            </w:r>
          </w:p>
        </w:tc>
        <w:tc>
          <w:tcPr>
            <w:tcW w:type="dxa" w:w="1757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切到业务员角色，同一张订单看不到他人客户与毛利字段。</w:t>
            </w:r>
          </w:p>
        </w:tc>
      </w:tr>
    </w:tbl>
    <w:p>
      <w:pPr>
        <w:spacing w:before="120" w:after="40"/>
        <w:jc w:val="center"/>
      </w:pPr>
      <w:r>
        <w:drawing>
          <wp:inline xmlns:a="http://schemas.openxmlformats.org/drawingml/2006/main" xmlns:pic="http://schemas.openxmlformats.org/drawingml/2006/picture">
            <wp:extent cx="5976000" cy="336249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oc-costcard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3624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微软雅黑" w:hAnsi="微软雅黑" w:eastAsia="微软雅黑"/>
          <w:b w:val="0"/>
          <w:i w:val="0"/>
          <w:color w:val="5B6678"/>
          <w:sz w:val="17"/>
        </w:rPr>
        <w:t>招牌动作 01：报价成本卡。12 项成本逐项列，退税收益作为减项单列，毛利实时算</w:t>
      </w:r>
    </w:p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0A1628"/>
          <w:sz w:val="26"/>
        </w:rPr>
        <w:t>5.1 演示动线的三个原则</w:t>
      </w:r>
    </w:p>
    <w:p>
      <w:pPr>
        <w:spacing w:before="0" w:after="80" w:line="336" w:lineRule="auto"/>
        <w:ind w:left="312" w:hanging="312"/>
      </w:pPr>
      <w:r>
        <w:rPr>
          <w:rFonts w:ascii="微软雅黑" w:hAnsi="微软雅黑" w:eastAsia="微软雅黑"/>
          <w:b/>
          <w:i w:val="0"/>
          <w:color w:val="F97316"/>
          <w:sz w:val="21"/>
        </w:rPr>
        <w:t xml:space="preserve">· </w:t>
      </w:r>
      <w:r>
        <w:rPr>
          <w:rFonts w:ascii="微软雅黑" w:hAnsi="微软雅黑" w:eastAsia="微软雅黑"/>
          <w:b w:val="0"/>
          <w:i w:val="0"/>
          <w:color w:val="1B2432"/>
          <w:sz w:val="21"/>
        </w:rPr>
        <w:t>先讲闭环，再讲功能：任何一页都先说「输入是什么、输出落到哪张单」，再打开页面。</w:t>
      </w:r>
    </w:p>
    <w:p>
      <w:pPr>
        <w:spacing w:before="0" w:after="80" w:line="336" w:lineRule="auto"/>
        <w:ind w:left="312" w:hanging="312"/>
      </w:pPr>
      <w:r>
        <w:rPr>
          <w:rFonts w:ascii="微软雅黑" w:hAnsi="微软雅黑" w:eastAsia="微软雅黑"/>
          <w:b/>
          <w:i w:val="0"/>
          <w:color w:val="F97316"/>
          <w:sz w:val="21"/>
        </w:rPr>
        <w:t xml:space="preserve">· </w:t>
      </w:r>
      <w:r>
        <w:rPr>
          <w:rFonts w:ascii="微软雅黑" w:hAnsi="微软雅黑" w:eastAsia="微软雅黑"/>
          <w:b w:val="0"/>
          <w:i w:val="0"/>
          <w:color w:val="1B2432"/>
          <w:sz w:val="21"/>
        </w:rPr>
        <w:t>先让客户动手，再解释：扫码、改箱数、认领水单，让客户自己点一次，比讲十页有效。</w:t>
      </w:r>
    </w:p>
    <w:p>
      <w:pPr>
        <w:spacing w:before="0" w:after="80" w:line="336" w:lineRule="auto"/>
        <w:ind w:left="312" w:hanging="312"/>
      </w:pPr>
      <w:r>
        <w:rPr>
          <w:rFonts w:ascii="微软雅黑" w:hAnsi="微软雅黑" w:eastAsia="微软雅黑"/>
          <w:b/>
          <w:i w:val="0"/>
          <w:color w:val="F97316"/>
          <w:sz w:val="21"/>
        </w:rPr>
        <w:t xml:space="preserve">· </w:t>
      </w:r>
      <w:r>
        <w:rPr>
          <w:rFonts w:ascii="微软雅黑" w:hAnsi="微软雅黑" w:eastAsia="微软雅黑"/>
          <w:b w:val="0"/>
          <w:i w:val="0"/>
          <w:color w:val="1B2432"/>
          <w:sz w:val="21"/>
        </w:rPr>
        <w:t>先承认边界，再谈价值：AI 不改单、系统不替代做账，先把边界说清，后面才可信。</w:t>
      </w:r>
    </w:p>
    <w:p>
      <w:pPr>
        <w:pageBreakBefore/>
        <w:spacing w:before="40" w:after="40"/>
      </w:pPr>
      <w:r>
        <w:rPr>
          <w:rFonts w:ascii="微软雅黑" w:hAnsi="微软雅黑" w:eastAsia="微软雅黑"/>
          <w:b/>
          <w:i w:val="0"/>
          <w:color w:val="F97316"/>
          <w:sz w:val="17"/>
        </w:rPr>
        <w:t>CHAPTER 06  DOCUMENT CONSISTENCY</w:t>
      </w:r>
    </w:p>
    <w:p>
      <w:pPr>
        <w:spacing w:before="40" w:after="200"/>
        <w:pBdr>
          <w:bottom w:val="single" w:sz="10" w:space="6" w:color="F97316"/>
        </w:pBdr>
      </w:pPr>
      <w:r>
        <w:rPr>
          <w:rFonts w:ascii="微软雅黑" w:hAnsi="微软雅黑" w:eastAsia="微软雅黑"/>
          <w:b/>
          <w:i w:val="0"/>
          <w:color w:val="0A1628"/>
          <w:sz w:val="40"/>
        </w:rPr>
        <w:t>单证一致性校验</w:t>
      </w:r>
    </w:p>
    <w:p>
      <w:pPr>
        <w:spacing w:before="0" w:after="140" w:line="348" w:lineRule="auto"/>
        <w:jc w:val="both"/>
      </w:pPr>
      <w:r>
        <w:rPr>
          <w:rFonts w:ascii="微软雅黑" w:hAnsi="微软雅黑" w:eastAsia="微软雅黑"/>
          <w:b w:val="0"/>
          <w:i w:val="0"/>
          <w:color w:val="1B2432"/>
          <w:sz w:val="21"/>
        </w:rPr>
        <w:t>出口单证最怕的不是不会填，而是「字段之间对不上」：发票金额与订单不一致、装箱单箱数与应装数不一致、提单收货人与发票不一致、HS 编码与机型档案不一致。这类错误在出单时看不出来，货到港才被客户或海关拦下，一次返工就是两天船期与一笔改单费。</w:t>
      </w:r>
    </w:p>
    <w:tbl>
      <w:tblPr>
        <w:tblW w:type="dxa" w:w="9412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CE2EC"/>
          <w:left w:val="single" w:sz="4" w:space="0" w:color="DCE2EC"/>
          <w:bottom w:val="single" w:sz="4" w:space="0" w:color="DCE2EC"/>
          <w:right w:val="single" w:sz="4" w:space="0" w:color="DCE2EC"/>
          <w:insideH w:val="single" w:sz="4" w:space="0" w:color="DCE2EC"/>
          <w:insideV w:val="single" w:sz="4" w:space="0" w:color="DCE2EC"/>
        </w:tblBorders>
        <w:tblCellMar>
          <w:top w:w="40" w:type="dxa"/>
          <w:bottom w:w="40" w:type="dxa"/>
          <w:left w:w="90" w:type="dxa"/>
          <w:right w:w="90" w:type="dxa"/>
        </w:tblCellMar>
      </w:tblPr>
      <w:tblGrid>
        <w:gridCol w:w="793"/>
        <w:gridCol w:w="1701"/>
        <w:gridCol w:w="4195"/>
        <w:gridCol w:w="2721"/>
      </w:tblGrid>
      <w:tr>
        <w:trPr>
          <w:tblHeader w:val="true"/>
        </w:trPr>
        <w:tc>
          <w:tcPr>
            <w:tcW w:type="dxa" w:w="794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代码</w:t>
            </w:r>
          </w:p>
        </w:tc>
        <w:tc>
          <w:tcPr>
            <w:tcW w:type="dxa" w:w="1701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单证</w:t>
            </w:r>
          </w:p>
        </w:tc>
        <w:tc>
          <w:tcPr>
            <w:tcW w:type="dxa" w:w="4195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主要校验点</w:t>
            </w:r>
          </w:p>
        </w:tc>
        <w:tc>
          <w:tcPr>
            <w:tcW w:type="dxa" w:w="2721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典型规则</w:t>
            </w:r>
          </w:p>
        </w:tc>
      </w:tr>
      <w:tr>
        <w:trPr>
          <w:cantSplit w:val="true"/>
        </w:trPr>
        <w:tc>
          <w:tcPr>
            <w:tcW w:type="dxa" w:w="794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CI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商业发票</w:t>
            </w:r>
          </w:p>
        </w:tc>
        <w:tc>
          <w:tcPr>
            <w:tcW w:type="dxa" w:w="4195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金额、币种、品名、收货人、日期</w:t>
            </w:r>
          </w:p>
        </w:tc>
        <w:tc>
          <w:tcPr>
            <w:tcW w:type="dxa" w:w="2721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V-01 / V-03 / V-05 / V-13 / V-14</w:t>
            </w:r>
          </w:p>
        </w:tc>
      </w:tr>
      <w:tr>
        <w:trPr>
          <w:cantSplit w:val="true"/>
        </w:trPr>
        <w:tc>
          <w:tcPr>
            <w:tcW w:type="dxa" w:w="794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PL</w:t>
            </w:r>
          </w:p>
        </w:tc>
        <w:tc>
          <w:tcPr>
            <w:tcW w:type="dxa" w:w="1701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装箱单</w:t>
            </w:r>
          </w:p>
        </w:tc>
        <w:tc>
          <w:tcPr>
            <w:tcW w:type="dxa" w:w="4195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箱数、数量、毛净重、体积、唛头</w:t>
            </w:r>
          </w:p>
        </w:tc>
        <w:tc>
          <w:tcPr>
            <w:tcW w:type="dxa" w:w="2721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V-02 / V-04 / V-06 ~ V-11</w:t>
            </w:r>
          </w:p>
        </w:tc>
      </w:tr>
      <w:tr>
        <w:trPr>
          <w:cantSplit w:val="true"/>
        </w:trPr>
        <w:tc>
          <w:tcPr>
            <w:tcW w:type="dxa" w:w="794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CD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报关资料</w:t>
            </w:r>
          </w:p>
        </w:tc>
        <w:tc>
          <w:tcPr>
            <w:tcW w:type="dxa" w:w="4195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HS 编码、申报要素、品名</w:t>
            </w:r>
          </w:p>
        </w:tc>
        <w:tc>
          <w:tcPr>
            <w:tcW w:type="dxa" w:w="2721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V-12</w:t>
            </w:r>
          </w:p>
        </w:tc>
      </w:tr>
      <w:tr>
        <w:trPr>
          <w:cantSplit w:val="true"/>
        </w:trPr>
        <w:tc>
          <w:tcPr>
            <w:tcW w:type="dxa" w:w="794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BL</w:t>
            </w:r>
          </w:p>
        </w:tc>
        <w:tc>
          <w:tcPr>
            <w:tcW w:type="dxa" w:w="1701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提单</w:t>
            </w:r>
          </w:p>
        </w:tc>
        <w:tc>
          <w:tcPr>
            <w:tcW w:type="dxa" w:w="4195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收货人、提单日、船名航次</w:t>
            </w:r>
          </w:p>
        </w:tc>
        <w:tc>
          <w:tcPr>
            <w:tcW w:type="dxa" w:w="2721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V-15 / V-16 / V-17</w:t>
            </w:r>
          </w:p>
        </w:tc>
      </w:tr>
      <w:tr>
        <w:trPr>
          <w:cantSplit w:val="true"/>
        </w:trPr>
        <w:tc>
          <w:tcPr>
            <w:tcW w:type="dxa" w:w="794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CO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原产地证</w:t>
            </w:r>
          </w:p>
        </w:tc>
        <w:tc>
          <w:tcPr>
            <w:tcW w:type="dxa" w:w="4195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签发日、原产地标准</w:t>
            </w:r>
          </w:p>
        </w:tc>
        <w:tc>
          <w:tcPr>
            <w:tcW w:type="dxa" w:w="2721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V-18 / V-19</w:t>
            </w:r>
          </w:p>
        </w:tc>
      </w:tr>
      <w:tr>
        <w:trPr>
          <w:cantSplit w:val="true"/>
        </w:trPr>
        <w:tc>
          <w:tcPr>
            <w:tcW w:type="dxa" w:w="794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FM</w:t>
            </w:r>
          </w:p>
        </w:tc>
        <w:tc>
          <w:tcPr>
            <w:tcW w:type="dxa" w:w="1701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报关单</w:t>
            </w:r>
          </w:p>
        </w:tc>
        <w:tc>
          <w:tcPr>
            <w:tcW w:type="dxa" w:w="4195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申报金额、申报数量</w:t>
            </w:r>
          </w:p>
        </w:tc>
        <w:tc>
          <w:tcPr>
            <w:tcW w:type="dxa" w:w="2721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V-20 / V-21</w:t>
            </w:r>
          </w:p>
        </w:tc>
      </w:tr>
      <w:tr>
        <w:trPr>
          <w:cantSplit w:val="true"/>
        </w:trPr>
        <w:tc>
          <w:tcPr>
            <w:tcW w:type="dxa" w:w="794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INS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保险单</w:t>
            </w:r>
          </w:p>
        </w:tc>
        <w:tc>
          <w:tcPr>
            <w:tcW w:type="dxa" w:w="4195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保额、币种</w:t>
            </w:r>
          </w:p>
        </w:tc>
        <w:tc>
          <w:tcPr>
            <w:tcW w:type="dxa" w:w="2721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V-22 / V-23</w:t>
            </w:r>
          </w:p>
        </w:tc>
      </w:tr>
      <w:tr>
        <w:trPr>
          <w:cantSplit w:val="true"/>
        </w:trPr>
        <w:tc>
          <w:tcPr>
            <w:tcW w:type="dxa" w:w="794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POA</w:t>
            </w:r>
          </w:p>
        </w:tc>
        <w:tc>
          <w:tcPr>
            <w:tcW w:type="dxa" w:w="1701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授权书</w:t>
            </w:r>
          </w:p>
        </w:tc>
        <w:tc>
          <w:tcPr>
            <w:tcW w:type="dxa" w:w="4195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有效期、授权方</w:t>
            </w:r>
          </w:p>
        </w:tc>
        <w:tc>
          <w:tcPr>
            <w:tcW w:type="dxa" w:w="2721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V-24 / V-25</w:t>
            </w:r>
          </w:p>
        </w:tc>
      </w:tr>
    </w:tbl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0A1628"/>
          <w:sz w:val="26"/>
        </w:rPr>
        <w:t>6.1 25 条规则（14 条自动校验）</w:t>
      </w:r>
    </w:p>
    <w:tbl>
      <w:tblPr>
        <w:tblW w:type="dxa" w:w="9412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CE2EC"/>
          <w:left w:val="single" w:sz="4" w:space="0" w:color="DCE2EC"/>
          <w:bottom w:val="single" w:sz="4" w:space="0" w:color="DCE2EC"/>
          <w:right w:val="single" w:sz="4" w:space="0" w:color="DCE2EC"/>
          <w:insideH w:val="single" w:sz="4" w:space="0" w:color="DCE2EC"/>
          <w:insideV w:val="single" w:sz="4" w:space="0" w:color="DCE2EC"/>
        </w:tblBorders>
        <w:tblCellMar>
          <w:top w:w="40" w:type="dxa"/>
          <w:bottom w:w="40" w:type="dxa"/>
          <w:left w:w="90" w:type="dxa"/>
          <w:right w:w="90" w:type="dxa"/>
        </w:tblCellMar>
      </w:tblPr>
      <w:tblGrid>
        <w:gridCol w:w="907"/>
        <w:gridCol w:w="4649"/>
        <w:gridCol w:w="1927"/>
        <w:gridCol w:w="1020"/>
        <w:gridCol w:w="907"/>
      </w:tblGrid>
      <w:tr>
        <w:trPr>
          <w:tblHeader w:val="true"/>
        </w:trPr>
        <w:tc>
          <w:tcPr>
            <w:tcW w:type="dxa" w:w="907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规则号</w:t>
            </w:r>
          </w:p>
        </w:tc>
        <w:tc>
          <w:tcPr>
            <w:tcW w:type="dxa" w:w="4649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规则内容</w:t>
            </w:r>
          </w:p>
        </w:tc>
        <w:tc>
          <w:tcPr>
            <w:tcW w:type="dxa" w:w="1928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单证类型</w:t>
            </w:r>
          </w:p>
        </w:tc>
        <w:tc>
          <w:tcPr>
            <w:tcW w:type="dxa" w:w="1020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校验方式</w:t>
            </w:r>
          </w:p>
        </w:tc>
        <w:tc>
          <w:tcPr>
            <w:tcW w:type="dxa" w:w="907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级别</w:t>
            </w:r>
          </w:p>
        </w:tc>
      </w:tr>
      <w:tr>
        <w:trPr>
          <w:cantSplit w:val="true"/>
        </w:trPr>
        <w:tc>
          <w:tcPr>
            <w:tcW w:type="dxa" w:w="907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V-01</w:t>
            </w:r>
          </w:p>
        </w:tc>
        <w:tc>
          <w:tcPr>
            <w:tcW w:type="dxa" w:w="4649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发票金额 = 订单金额（全额出证，订金不冲减发票）</w:t>
            </w:r>
          </w:p>
        </w:tc>
        <w:tc>
          <w:tcPr>
            <w:tcW w:type="dxa" w:w="1928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商业发票（CI）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自动校验</w:t>
            </w:r>
          </w:p>
        </w:tc>
        <w:tc>
          <w:tcPr>
            <w:tcW w:type="dxa" w:w="907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阻断</w:t>
            </w:r>
          </w:p>
        </w:tc>
      </w:tr>
      <w:tr>
        <w:trPr>
          <w:cantSplit w:val="true"/>
        </w:trPr>
        <w:tc>
          <w:tcPr>
            <w:tcW w:type="dxa" w:w="907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V-02</w:t>
            </w:r>
          </w:p>
        </w:tc>
        <w:tc>
          <w:tcPr>
            <w:tcW w:type="dxa" w:w="4649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装箱单箱数 = 订单应装箱数（数量÷每箱装量）</w:t>
            </w:r>
          </w:p>
        </w:tc>
        <w:tc>
          <w:tcPr>
            <w:tcW w:type="dxa" w:w="1928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装箱单（PL）</w:t>
            </w:r>
          </w:p>
        </w:tc>
        <w:tc>
          <w:tcPr>
            <w:tcW w:type="dxa" w:w="1020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自动校验</w:t>
            </w:r>
          </w:p>
        </w:tc>
        <w:tc>
          <w:tcPr>
            <w:tcW w:type="dxa" w:w="907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阻断</w:t>
            </w:r>
          </w:p>
        </w:tc>
      </w:tr>
      <w:tr>
        <w:trPr>
          <w:cantSplit w:val="true"/>
        </w:trPr>
        <w:tc>
          <w:tcPr>
            <w:tcW w:type="dxa" w:w="907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V-03</w:t>
            </w:r>
          </w:p>
        </w:tc>
        <w:tc>
          <w:tcPr>
            <w:tcW w:type="dxa" w:w="4649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单证品名与订单机型品名一致</w:t>
            </w:r>
          </w:p>
        </w:tc>
        <w:tc>
          <w:tcPr>
            <w:tcW w:type="dxa" w:w="1928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商业发票（CI）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自动校验</w:t>
            </w:r>
          </w:p>
        </w:tc>
        <w:tc>
          <w:tcPr>
            <w:tcW w:type="dxa" w:w="907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阻断</w:t>
            </w:r>
          </w:p>
        </w:tc>
      </w:tr>
      <w:tr>
        <w:trPr>
          <w:cantSplit w:val="true"/>
        </w:trPr>
        <w:tc>
          <w:tcPr>
            <w:tcW w:type="dxa" w:w="907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V-04</w:t>
            </w:r>
          </w:p>
        </w:tc>
        <w:tc>
          <w:tcPr>
            <w:tcW w:type="dxa" w:w="4649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装箱单数量合计 = 订单数量</w:t>
            </w:r>
          </w:p>
        </w:tc>
        <w:tc>
          <w:tcPr>
            <w:tcW w:type="dxa" w:w="1928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装箱单（PL）</w:t>
            </w:r>
          </w:p>
        </w:tc>
        <w:tc>
          <w:tcPr>
            <w:tcW w:type="dxa" w:w="1020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自动校验</w:t>
            </w:r>
          </w:p>
        </w:tc>
        <w:tc>
          <w:tcPr>
            <w:tcW w:type="dxa" w:w="907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阻断</w:t>
            </w:r>
          </w:p>
        </w:tc>
      </w:tr>
      <w:tr>
        <w:trPr>
          <w:cantSplit w:val="true"/>
        </w:trPr>
        <w:tc>
          <w:tcPr>
            <w:tcW w:type="dxa" w:w="907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V-05</w:t>
            </w:r>
          </w:p>
        </w:tc>
        <w:tc>
          <w:tcPr>
            <w:tcW w:type="dxa" w:w="4649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单证币种与订单币种一致</w:t>
            </w:r>
          </w:p>
        </w:tc>
        <w:tc>
          <w:tcPr>
            <w:tcW w:type="dxa" w:w="1928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商业发票（CI）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自动校验</w:t>
            </w:r>
          </w:p>
        </w:tc>
        <w:tc>
          <w:tcPr>
            <w:tcW w:type="dxa" w:w="907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阻断</w:t>
            </w:r>
          </w:p>
        </w:tc>
      </w:tr>
      <w:tr>
        <w:trPr>
          <w:cantSplit w:val="true"/>
        </w:trPr>
        <w:tc>
          <w:tcPr>
            <w:tcW w:type="dxa" w:w="907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V-06</w:t>
            </w:r>
          </w:p>
        </w:tc>
        <w:tc>
          <w:tcPr>
            <w:tcW w:type="dxa" w:w="4649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唛头与客户指定唛头一致</w:t>
            </w:r>
          </w:p>
        </w:tc>
        <w:tc>
          <w:tcPr>
            <w:tcW w:type="dxa" w:w="1928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装箱单（PL）</w:t>
            </w:r>
          </w:p>
        </w:tc>
        <w:tc>
          <w:tcPr>
            <w:tcW w:type="dxa" w:w="1020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自动校验</w:t>
            </w:r>
          </w:p>
        </w:tc>
        <w:tc>
          <w:tcPr>
            <w:tcW w:type="dxa" w:w="907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预警</w:t>
            </w:r>
          </w:p>
        </w:tc>
      </w:tr>
      <w:tr>
        <w:trPr>
          <w:cantSplit w:val="true"/>
        </w:trPr>
        <w:tc>
          <w:tcPr>
            <w:tcW w:type="dxa" w:w="907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V-07</w:t>
            </w:r>
          </w:p>
        </w:tc>
        <w:tc>
          <w:tcPr>
            <w:tcW w:type="dxa" w:w="4649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毛重不超过 40HQ 限重 26.5 吨</w:t>
            </w:r>
          </w:p>
        </w:tc>
        <w:tc>
          <w:tcPr>
            <w:tcW w:type="dxa" w:w="1928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装箱单（PL）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自动校验</w:t>
            </w:r>
          </w:p>
        </w:tc>
        <w:tc>
          <w:tcPr>
            <w:tcW w:type="dxa" w:w="907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阻断</w:t>
            </w:r>
          </w:p>
        </w:tc>
      </w:tr>
      <w:tr>
        <w:trPr>
          <w:cantSplit w:val="true"/>
        </w:trPr>
        <w:tc>
          <w:tcPr>
            <w:tcW w:type="dxa" w:w="907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V-08</w:t>
            </w:r>
          </w:p>
        </w:tc>
        <w:tc>
          <w:tcPr>
            <w:tcW w:type="dxa" w:w="4649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净重不得大于毛重</w:t>
            </w:r>
          </w:p>
        </w:tc>
        <w:tc>
          <w:tcPr>
            <w:tcW w:type="dxa" w:w="1928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装箱单（PL）</w:t>
            </w:r>
          </w:p>
        </w:tc>
        <w:tc>
          <w:tcPr>
            <w:tcW w:type="dxa" w:w="1020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自动校验</w:t>
            </w:r>
          </w:p>
        </w:tc>
        <w:tc>
          <w:tcPr>
            <w:tcW w:type="dxa" w:w="907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阻断</w:t>
            </w:r>
          </w:p>
        </w:tc>
      </w:tr>
      <w:tr>
        <w:trPr>
          <w:cantSplit w:val="true"/>
        </w:trPr>
        <w:tc>
          <w:tcPr>
            <w:tcW w:type="dxa" w:w="907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V-09</w:t>
            </w:r>
          </w:p>
        </w:tc>
        <w:tc>
          <w:tcPr>
            <w:tcW w:type="dxa" w:w="4649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总体积不超过柜内可用容积（40HQ 76 CBM）</w:t>
            </w:r>
          </w:p>
        </w:tc>
        <w:tc>
          <w:tcPr>
            <w:tcW w:type="dxa" w:w="1928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装箱单（PL）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自动校验</w:t>
            </w:r>
          </w:p>
        </w:tc>
        <w:tc>
          <w:tcPr>
            <w:tcW w:type="dxa" w:w="907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预警</w:t>
            </w:r>
          </w:p>
        </w:tc>
      </w:tr>
      <w:tr>
        <w:trPr>
          <w:cantSplit w:val="true"/>
        </w:trPr>
        <w:tc>
          <w:tcPr>
            <w:tcW w:type="dxa" w:w="907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V-10</w:t>
            </w:r>
          </w:p>
        </w:tc>
        <w:tc>
          <w:tcPr>
            <w:tcW w:type="dxa" w:w="4649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总件数 = 明细箱数合计</w:t>
            </w:r>
          </w:p>
        </w:tc>
        <w:tc>
          <w:tcPr>
            <w:tcW w:type="dxa" w:w="1928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装箱单（PL）</w:t>
            </w:r>
          </w:p>
        </w:tc>
        <w:tc>
          <w:tcPr>
            <w:tcW w:type="dxa" w:w="1020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自动校验</w:t>
            </w:r>
          </w:p>
        </w:tc>
        <w:tc>
          <w:tcPr>
            <w:tcW w:type="dxa" w:w="907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阻断</w:t>
            </w:r>
          </w:p>
        </w:tc>
      </w:tr>
      <w:tr>
        <w:trPr>
          <w:cantSplit w:val="true"/>
        </w:trPr>
        <w:tc>
          <w:tcPr>
            <w:tcW w:type="dxa" w:w="907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V-11</w:t>
            </w:r>
          </w:p>
        </w:tc>
        <w:tc>
          <w:tcPr>
            <w:tcW w:type="dxa" w:w="4649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包装种类与客户要求一致</w:t>
            </w:r>
          </w:p>
        </w:tc>
        <w:tc>
          <w:tcPr>
            <w:tcW w:type="dxa" w:w="1928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装箱单（PL）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自动校验</w:t>
            </w:r>
          </w:p>
        </w:tc>
        <w:tc>
          <w:tcPr>
            <w:tcW w:type="dxa" w:w="907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预警</w:t>
            </w:r>
          </w:p>
        </w:tc>
      </w:tr>
      <w:tr>
        <w:trPr>
          <w:cantSplit w:val="true"/>
        </w:trPr>
        <w:tc>
          <w:tcPr>
            <w:tcW w:type="dxa" w:w="907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V-12</w:t>
            </w:r>
          </w:p>
        </w:tc>
        <w:tc>
          <w:tcPr>
            <w:tcW w:type="dxa" w:w="4649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申报 HS 编码与机型档案一致</w:t>
            </w:r>
          </w:p>
        </w:tc>
        <w:tc>
          <w:tcPr>
            <w:tcW w:type="dxa" w:w="1928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报关资料（CD）</w:t>
            </w:r>
          </w:p>
        </w:tc>
        <w:tc>
          <w:tcPr>
            <w:tcW w:type="dxa" w:w="1020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自动校验</w:t>
            </w:r>
          </w:p>
        </w:tc>
        <w:tc>
          <w:tcPr>
            <w:tcW w:type="dxa" w:w="907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阻断</w:t>
            </w:r>
          </w:p>
        </w:tc>
      </w:tr>
      <w:tr>
        <w:trPr>
          <w:cantSplit w:val="true"/>
        </w:trPr>
        <w:tc>
          <w:tcPr>
            <w:tcW w:type="dxa" w:w="907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V-13</w:t>
            </w:r>
          </w:p>
        </w:tc>
        <w:tc>
          <w:tcPr>
            <w:tcW w:type="dxa" w:w="4649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发票日期不得晚于提单日期</w:t>
            </w:r>
          </w:p>
        </w:tc>
        <w:tc>
          <w:tcPr>
            <w:tcW w:type="dxa" w:w="1928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商业发票（CI）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自动校验</w:t>
            </w:r>
          </w:p>
        </w:tc>
        <w:tc>
          <w:tcPr>
            <w:tcW w:type="dxa" w:w="907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预警</w:t>
            </w:r>
          </w:p>
        </w:tc>
      </w:tr>
      <w:tr>
        <w:trPr>
          <w:cantSplit w:val="true"/>
        </w:trPr>
        <w:tc>
          <w:tcPr>
            <w:tcW w:type="dxa" w:w="907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V-14</w:t>
            </w:r>
          </w:p>
        </w:tc>
        <w:tc>
          <w:tcPr>
            <w:tcW w:type="dxa" w:w="4649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收货人与客户主数据一致</w:t>
            </w:r>
          </w:p>
        </w:tc>
        <w:tc>
          <w:tcPr>
            <w:tcW w:type="dxa" w:w="1928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商业发票（CI）</w:t>
            </w:r>
          </w:p>
        </w:tc>
        <w:tc>
          <w:tcPr>
            <w:tcW w:type="dxa" w:w="1020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自动校验</w:t>
            </w:r>
          </w:p>
        </w:tc>
        <w:tc>
          <w:tcPr>
            <w:tcW w:type="dxa" w:w="907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预警</w:t>
            </w:r>
          </w:p>
        </w:tc>
      </w:tr>
      <w:tr>
        <w:trPr>
          <w:cantSplit w:val="true"/>
        </w:trPr>
        <w:tc>
          <w:tcPr>
            <w:tcW w:type="dxa" w:w="907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V-15</w:t>
            </w:r>
          </w:p>
        </w:tc>
        <w:tc>
          <w:tcPr>
            <w:tcW w:type="dxa" w:w="4649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提单收货人 = 发票收货人</w:t>
            </w:r>
          </w:p>
        </w:tc>
        <w:tc>
          <w:tcPr>
            <w:tcW w:type="dxa" w:w="1928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提单（BL）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人工复核</w:t>
            </w:r>
          </w:p>
        </w:tc>
        <w:tc>
          <w:tcPr>
            <w:tcW w:type="dxa" w:w="907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阻断</w:t>
            </w:r>
          </w:p>
        </w:tc>
      </w:tr>
      <w:tr>
        <w:trPr>
          <w:cantSplit w:val="true"/>
        </w:trPr>
        <w:tc>
          <w:tcPr>
            <w:tcW w:type="dxa" w:w="907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V-16</w:t>
            </w:r>
          </w:p>
        </w:tc>
        <w:tc>
          <w:tcPr>
            <w:tcW w:type="dxa" w:w="4649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提单日期不得早于发票日期</w:t>
            </w:r>
          </w:p>
        </w:tc>
        <w:tc>
          <w:tcPr>
            <w:tcW w:type="dxa" w:w="1928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提单（BL）</w:t>
            </w:r>
          </w:p>
        </w:tc>
        <w:tc>
          <w:tcPr>
            <w:tcW w:type="dxa" w:w="1020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人工复核</w:t>
            </w:r>
          </w:p>
        </w:tc>
        <w:tc>
          <w:tcPr>
            <w:tcW w:type="dxa" w:w="907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预警</w:t>
            </w:r>
          </w:p>
        </w:tc>
      </w:tr>
      <w:tr>
        <w:trPr>
          <w:cantSplit w:val="true"/>
        </w:trPr>
        <w:tc>
          <w:tcPr>
            <w:tcW w:type="dxa" w:w="907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V-17</w:t>
            </w:r>
          </w:p>
        </w:tc>
        <w:tc>
          <w:tcPr>
            <w:tcW w:type="dxa" w:w="4649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船名航次与出运台账一致</w:t>
            </w:r>
          </w:p>
        </w:tc>
        <w:tc>
          <w:tcPr>
            <w:tcW w:type="dxa" w:w="1928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提单（BL）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人工复核</w:t>
            </w:r>
          </w:p>
        </w:tc>
        <w:tc>
          <w:tcPr>
            <w:tcW w:type="dxa" w:w="907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预警</w:t>
            </w:r>
          </w:p>
        </w:tc>
      </w:tr>
      <w:tr>
        <w:trPr>
          <w:cantSplit w:val="true"/>
        </w:trPr>
        <w:tc>
          <w:tcPr>
            <w:tcW w:type="dxa" w:w="907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V-18</w:t>
            </w:r>
          </w:p>
        </w:tc>
        <w:tc>
          <w:tcPr>
            <w:tcW w:type="dxa" w:w="4649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原产地证签发日不得晚于提单日</w:t>
            </w:r>
          </w:p>
        </w:tc>
        <w:tc>
          <w:tcPr>
            <w:tcW w:type="dxa" w:w="1928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原产地证（CO）</w:t>
            </w:r>
          </w:p>
        </w:tc>
        <w:tc>
          <w:tcPr>
            <w:tcW w:type="dxa" w:w="1020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人工复核</w:t>
            </w:r>
          </w:p>
        </w:tc>
        <w:tc>
          <w:tcPr>
            <w:tcW w:type="dxa" w:w="907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预警</w:t>
            </w:r>
          </w:p>
        </w:tc>
      </w:tr>
      <w:tr>
        <w:trPr>
          <w:cantSplit w:val="true"/>
        </w:trPr>
        <w:tc>
          <w:tcPr>
            <w:tcW w:type="dxa" w:w="907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V-19</w:t>
            </w:r>
          </w:p>
        </w:tc>
        <w:tc>
          <w:tcPr>
            <w:tcW w:type="dxa" w:w="4649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原产地标准与目标市场准入规则匹配</w:t>
            </w:r>
          </w:p>
        </w:tc>
        <w:tc>
          <w:tcPr>
            <w:tcW w:type="dxa" w:w="1928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原产地证（CO）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人工复核</w:t>
            </w:r>
          </w:p>
        </w:tc>
        <w:tc>
          <w:tcPr>
            <w:tcW w:type="dxa" w:w="907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阻断</w:t>
            </w:r>
          </w:p>
        </w:tc>
      </w:tr>
      <w:tr>
        <w:trPr>
          <w:cantSplit w:val="true"/>
        </w:trPr>
        <w:tc>
          <w:tcPr>
            <w:tcW w:type="dxa" w:w="907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V-20</w:t>
            </w:r>
          </w:p>
        </w:tc>
        <w:tc>
          <w:tcPr>
            <w:tcW w:type="dxa" w:w="4649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报关单申报金额 = 发票金额</w:t>
            </w:r>
          </w:p>
        </w:tc>
        <w:tc>
          <w:tcPr>
            <w:tcW w:type="dxa" w:w="1928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报关单（FM）</w:t>
            </w:r>
          </w:p>
        </w:tc>
        <w:tc>
          <w:tcPr>
            <w:tcW w:type="dxa" w:w="1020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人工复核</w:t>
            </w:r>
          </w:p>
        </w:tc>
        <w:tc>
          <w:tcPr>
            <w:tcW w:type="dxa" w:w="907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阻断</w:t>
            </w:r>
          </w:p>
        </w:tc>
      </w:tr>
      <w:tr>
        <w:trPr>
          <w:cantSplit w:val="true"/>
        </w:trPr>
        <w:tc>
          <w:tcPr>
            <w:tcW w:type="dxa" w:w="907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V-21</w:t>
            </w:r>
          </w:p>
        </w:tc>
        <w:tc>
          <w:tcPr>
            <w:tcW w:type="dxa" w:w="4649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报关单申报数量 = 装箱单数量</w:t>
            </w:r>
          </w:p>
        </w:tc>
        <w:tc>
          <w:tcPr>
            <w:tcW w:type="dxa" w:w="1928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报关单（FM）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人工复核</w:t>
            </w:r>
          </w:p>
        </w:tc>
        <w:tc>
          <w:tcPr>
            <w:tcW w:type="dxa" w:w="907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阻断</w:t>
            </w:r>
          </w:p>
        </w:tc>
      </w:tr>
      <w:tr>
        <w:trPr>
          <w:cantSplit w:val="true"/>
        </w:trPr>
        <w:tc>
          <w:tcPr>
            <w:tcW w:type="dxa" w:w="907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V-22</w:t>
            </w:r>
          </w:p>
        </w:tc>
        <w:tc>
          <w:tcPr>
            <w:tcW w:type="dxa" w:w="4649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保险金额不低于发票金额的 110%</w:t>
            </w:r>
          </w:p>
        </w:tc>
        <w:tc>
          <w:tcPr>
            <w:tcW w:type="dxa" w:w="1928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保险单（INS）</w:t>
            </w:r>
          </w:p>
        </w:tc>
        <w:tc>
          <w:tcPr>
            <w:tcW w:type="dxa" w:w="1020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人工复核</w:t>
            </w:r>
          </w:p>
        </w:tc>
        <w:tc>
          <w:tcPr>
            <w:tcW w:type="dxa" w:w="907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阻断</w:t>
            </w:r>
          </w:p>
        </w:tc>
      </w:tr>
      <w:tr>
        <w:trPr>
          <w:cantSplit w:val="true"/>
        </w:trPr>
        <w:tc>
          <w:tcPr>
            <w:tcW w:type="dxa" w:w="907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V-23</w:t>
            </w:r>
          </w:p>
        </w:tc>
        <w:tc>
          <w:tcPr>
            <w:tcW w:type="dxa" w:w="4649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保单币种与发票币种一致</w:t>
            </w:r>
          </w:p>
        </w:tc>
        <w:tc>
          <w:tcPr>
            <w:tcW w:type="dxa" w:w="1928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保险单（INS）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人工复核</w:t>
            </w:r>
          </w:p>
        </w:tc>
        <w:tc>
          <w:tcPr>
            <w:tcW w:type="dxa" w:w="907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预警</w:t>
            </w:r>
          </w:p>
        </w:tc>
      </w:tr>
      <w:tr>
        <w:trPr>
          <w:cantSplit w:val="true"/>
        </w:trPr>
        <w:tc>
          <w:tcPr>
            <w:tcW w:type="dxa" w:w="907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V-24</w:t>
            </w:r>
          </w:p>
        </w:tc>
        <w:tc>
          <w:tcPr>
            <w:tcW w:type="dxa" w:w="4649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授权书有效期覆盖提单日期</w:t>
            </w:r>
          </w:p>
        </w:tc>
        <w:tc>
          <w:tcPr>
            <w:tcW w:type="dxa" w:w="1928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授权书（POA）</w:t>
            </w:r>
          </w:p>
        </w:tc>
        <w:tc>
          <w:tcPr>
            <w:tcW w:type="dxa" w:w="1020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人工复核</w:t>
            </w:r>
          </w:p>
        </w:tc>
        <w:tc>
          <w:tcPr>
            <w:tcW w:type="dxa" w:w="907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阻断</w:t>
            </w:r>
          </w:p>
        </w:tc>
      </w:tr>
      <w:tr>
        <w:trPr>
          <w:cantSplit w:val="true"/>
        </w:trPr>
        <w:tc>
          <w:tcPr>
            <w:tcW w:type="dxa" w:w="907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V-25</w:t>
            </w:r>
          </w:p>
        </w:tc>
        <w:tc>
          <w:tcPr>
            <w:tcW w:type="dxa" w:w="4649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授权方与客户主数据一致</w:t>
            </w:r>
          </w:p>
        </w:tc>
        <w:tc>
          <w:tcPr>
            <w:tcW w:type="dxa" w:w="1928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授权书（POA）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人工复核</w:t>
            </w:r>
          </w:p>
        </w:tc>
        <w:tc>
          <w:tcPr>
            <w:tcW w:type="dxa" w:w="907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预警</w:t>
            </w:r>
          </w:p>
        </w:tc>
      </w:tr>
    </w:tbl>
    <w:tbl>
      <w:tblPr>
        <w:tblW w:type="dxa" w:w="9412"/>
        <w:jc w:val="center"/>
        <w:tblLayout w:type="fixed"/>
        <w:tblLook w:firstColumn="1" w:firstRow="1" w:lastColumn="0" w:lastRow="0" w:noHBand="0" w:noVBand="1" w:val="04A0"/>
        <w:tblCellMar>
          <w:top w:w="120" w:type="dxa"/>
          <w:bottom w:w="120" w:type="dxa"/>
          <w:left w:w="160" w:type="dxa"/>
          <w:right w:w="160" w:type="dxa"/>
        </w:tblCellMar>
        <w:tblBorders>
          <w:top w:val="single" w:sz="1" w:space="0" w:color="FFF1E6"/>
          <w:left w:val="single" w:sz="1" w:space="0" w:color="FFF1E6"/>
          <w:bottom w:val="single" w:sz="1" w:space="0" w:color="FFF1E6"/>
          <w:right w:val="single" w:sz="1" w:space="0" w:color="FFF1E6"/>
          <w:insideH w:val="single" w:sz="1" w:space="0" w:color="FFF1E6"/>
          <w:insideV w:val="single" w:sz="1" w:space="0" w:color="FFF1E6"/>
        </w:tblBorders>
      </w:tblPr>
      <w:tblGrid>
        <w:gridCol w:w="9412"/>
      </w:tblGrid>
      <w:tr>
        <w:tc>
          <w:tcPr>
            <w:tcW w:type="dxa" w:w="9411"/>
            <w:shd w:val="clear" w:color="auto" w:fill="FFF1E6"/>
          </w:tcPr>
          <w:p>
            <w:pPr>
              <w:spacing w:after="40"/>
            </w:pPr>
            <w:r>
              <w:rPr>
                <w:rFonts w:ascii="微软雅黑" w:hAnsi="微软雅黑" w:eastAsia="微软雅黑"/>
                <w:b/>
                <w:i w:val="0"/>
                <w:color w:val="8A4B12"/>
                <w:sz w:val="19"/>
              </w:rPr>
              <w:t>级别与校验方式</w:t>
            </w:r>
          </w:p>
          <w:p>
            <w:pPr>
              <w:spacing w:after="0" w:line="336" w:lineRule="auto"/>
            </w:pPr>
            <w:r>
              <w:rPr>
                <w:rFonts w:ascii="微软雅黑" w:hAnsi="微软雅黑" w:eastAsia="微软雅黑"/>
                <w:b w:val="0"/>
                <w:i w:val="0"/>
                <w:color w:val="8A4B12"/>
                <w:sz w:val="18"/>
              </w:rPr>
              <w:t>阻断 = 校验不通过不能签章、不能生成报关资料，必须改到通过；预警 = 提示差异，人工判断后可继续，但差异会留在校验记录里。V-01 ~ V-14 已纳入自动校验；V-15 ~ V-25 在结果中明确标注「待人工复核（未纳入自动校验）」，不假装全部自动。字段、比对对象、级别与容差都可以在页面上改，也可以新增企业自己的规则。</w:t>
            </w:r>
          </w:p>
        </w:tc>
      </w:tr>
    </w:tbl>
    <w:p>
      <w:pPr>
        <w:spacing w:after="40"/>
      </w:pPr>
    </w:p>
    <w:p>
      <w:pPr>
        <w:pageBreakBefore/>
        <w:spacing w:before="40" w:after="40"/>
      </w:pPr>
      <w:r>
        <w:rPr>
          <w:rFonts w:ascii="微软雅黑" w:hAnsi="微软雅黑" w:eastAsia="微软雅黑"/>
          <w:b/>
          <w:i w:val="0"/>
          <w:color w:val="F97316"/>
          <w:sz w:val="17"/>
        </w:rPr>
        <w:t>CHAPTER 07  AI CAPABILITIES</w:t>
      </w:r>
    </w:p>
    <w:p>
      <w:pPr>
        <w:spacing w:before="40" w:after="200"/>
        <w:pBdr>
          <w:bottom w:val="single" w:sz="10" w:space="6" w:color="F97316"/>
        </w:pBdr>
      </w:pPr>
      <w:r>
        <w:rPr>
          <w:rFonts w:ascii="微软雅黑" w:hAnsi="微软雅黑" w:eastAsia="微软雅黑"/>
          <w:b/>
          <w:i w:val="0"/>
          <w:color w:val="0A1628"/>
          <w:sz w:val="40"/>
        </w:rPr>
        <w:t>AI 智能中心</w:t>
      </w:r>
    </w:p>
    <w:p>
      <w:pPr>
        <w:spacing w:before="0" w:after="140" w:line="348" w:lineRule="auto"/>
        <w:jc w:val="both"/>
      </w:pPr>
      <w:r>
        <w:rPr>
          <w:rFonts w:ascii="微软雅黑" w:hAnsi="微软雅黑" w:eastAsia="微软雅黑"/>
          <w:b w:val="0"/>
          <w:i w:val="0"/>
          <w:color w:val="1B2432"/>
          <w:sz w:val="21"/>
        </w:rPr>
        <w:t>系统内置 12 项 AI 能力，其中 10 项已上线、2 项规划中。所有能力遵循同一条底线：AI 给建议与证据，人确认或采纳才落库；每次采纳都写进 AI 任务台账，可回看前后值。</w:t>
      </w:r>
    </w:p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0A1628"/>
          <w:sz w:val="26"/>
        </w:rPr>
        <w:t>7.1 三项原则</w:t>
      </w:r>
    </w:p>
    <w:p>
      <w:pPr>
        <w:spacing w:before="0" w:after="80" w:line="336" w:lineRule="auto"/>
        <w:ind w:left="312" w:hanging="312"/>
      </w:pPr>
      <w:r>
        <w:rPr>
          <w:rFonts w:ascii="微软雅黑" w:hAnsi="微软雅黑" w:eastAsia="微软雅黑"/>
          <w:b/>
          <w:i w:val="0"/>
          <w:color w:val="F97316"/>
          <w:sz w:val="21"/>
        </w:rPr>
        <w:t xml:space="preserve">· </w:t>
      </w:r>
      <w:r>
        <w:rPr>
          <w:rFonts w:ascii="微软雅黑" w:hAnsi="微软雅黑" w:eastAsia="微软雅黑"/>
          <w:b w:val="0"/>
          <w:i w:val="0"/>
          <w:color w:val="1B2432"/>
          <w:sz w:val="21"/>
        </w:rPr>
        <w:t>证据可查：每个字段给置信度与证据出处，不是一句「AI 认为」。</w:t>
      </w:r>
    </w:p>
    <w:p>
      <w:pPr>
        <w:spacing w:before="0" w:after="80" w:line="336" w:lineRule="auto"/>
        <w:ind w:left="312" w:hanging="312"/>
      </w:pPr>
      <w:r>
        <w:rPr>
          <w:rFonts w:ascii="微软雅黑" w:hAnsi="微软雅黑" w:eastAsia="微软雅黑"/>
          <w:b/>
          <w:i w:val="0"/>
          <w:color w:val="F97316"/>
          <w:sz w:val="21"/>
        </w:rPr>
        <w:t xml:space="preserve">· </w:t>
      </w:r>
      <w:r>
        <w:rPr>
          <w:rFonts w:ascii="微软雅黑" w:hAnsi="微软雅黑" w:eastAsia="微软雅黑"/>
          <w:b w:val="0"/>
          <w:i w:val="0"/>
          <w:color w:val="1B2432"/>
          <w:sz w:val="21"/>
        </w:rPr>
        <w:t>人工确认：AI 不改单、不定价、不放货；人点确认或采纳才落库。</w:t>
      </w:r>
    </w:p>
    <w:p>
      <w:pPr>
        <w:spacing w:before="0" w:after="80" w:line="336" w:lineRule="auto"/>
        <w:ind w:left="312" w:hanging="312"/>
      </w:pPr>
      <w:r>
        <w:rPr>
          <w:rFonts w:ascii="微软雅黑" w:hAnsi="微软雅黑" w:eastAsia="微软雅黑"/>
          <w:b/>
          <w:i w:val="0"/>
          <w:color w:val="F97316"/>
          <w:sz w:val="21"/>
        </w:rPr>
        <w:t xml:space="preserve">· </w:t>
      </w:r>
      <w:r>
        <w:rPr>
          <w:rFonts w:ascii="微软雅黑" w:hAnsi="微软雅黑" w:eastAsia="微软雅黑"/>
          <w:b w:val="0"/>
          <w:i w:val="0"/>
          <w:color w:val="1B2432"/>
          <w:sz w:val="21"/>
        </w:rPr>
        <w:t>采纳留痕：AI 任务台账记录输入、输出、置信度、采纳人与前后值。</w:t>
      </w:r>
    </w:p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0A1628"/>
          <w:sz w:val="26"/>
        </w:rPr>
        <w:t>7.2 能力清单</w:t>
      </w:r>
    </w:p>
    <w:tbl>
      <w:tblPr>
        <w:tblW w:type="dxa" w:w="9412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CE2EC"/>
          <w:left w:val="single" w:sz="4" w:space="0" w:color="DCE2EC"/>
          <w:bottom w:val="single" w:sz="4" w:space="0" w:color="DCE2EC"/>
          <w:right w:val="single" w:sz="4" w:space="0" w:color="DCE2EC"/>
          <w:insideH w:val="single" w:sz="4" w:space="0" w:color="DCE2EC"/>
          <w:insideV w:val="single" w:sz="4" w:space="0" w:color="DCE2EC"/>
        </w:tblBorders>
        <w:tblCellMar>
          <w:top w:w="40" w:type="dxa"/>
          <w:bottom w:w="40" w:type="dxa"/>
          <w:left w:w="90" w:type="dxa"/>
          <w:right w:w="90" w:type="dxa"/>
        </w:tblCellMar>
      </w:tblPr>
      <w:tblGrid>
        <w:gridCol w:w="1247"/>
        <w:gridCol w:w="737"/>
        <w:gridCol w:w="2268"/>
        <w:gridCol w:w="2608"/>
        <w:gridCol w:w="1814"/>
        <w:gridCol w:w="737"/>
      </w:tblGrid>
      <w:tr>
        <w:trPr>
          <w:tblHeader w:val="true"/>
        </w:trPr>
        <w:tc>
          <w:tcPr>
            <w:tcW w:type="dxa" w:w="1247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能力</w:t>
            </w:r>
          </w:p>
        </w:tc>
        <w:tc>
          <w:tcPr>
            <w:tcW w:type="dxa" w:w="737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域</w:t>
            </w:r>
          </w:p>
        </w:tc>
        <w:tc>
          <w:tcPr>
            <w:tcW w:type="dxa" w:w="2268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输入</w:t>
            </w:r>
          </w:p>
        </w:tc>
        <w:tc>
          <w:tcPr>
            <w:tcW w:type="dxa" w:w="2608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输出</w:t>
            </w:r>
          </w:p>
        </w:tc>
        <w:tc>
          <w:tcPr>
            <w:tcW w:type="dxa" w:w="1814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人工确认</w:t>
            </w:r>
          </w:p>
        </w:tc>
        <w:tc>
          <w:tcPr>
            <w:tcW w:type="dxa" w:w="737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状态</w:t>
            </w:r>
          </w:p>
        </w:tc>
      </w:tr>
      <w:tr>
        <w:trPr>
          <w:cantSplit w:val="true"/>
        </w:trPr>
        <w:tc>
          <w:tcPr>
            <w:tcW w:type="dxa" w:w="1247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5"/>
              </w:rPr>
              <w:t>AI 下单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贸易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客户邮件 / PDF / Excel / 微信截图里的订单原文</w:t>
            </w:r>
          </w:p>
        </w:tc>
        <w:tc>
          <w:tcPr>
            <w:tcW w:type="dxa" w:w="2608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客户、机型、数量、单价、交期、贸易条款、目的港、付款方式等 12 个字段 + 风险清单</w:t>
            </w:r>
          </w:p>
        </w:tc>
        <w:tc>
          <w:tcPr>
            <w:tcW w:type="dxa" w:w="1814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业务员逐字段核对；机型歧义、价格偏离、认证缺失、授信超限由人拍板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已上线</w:t>
            </w:r>
          </w:p>
        </w:tc>
      </w:tr>
      <w:tr>
        <w:trPr>
          <w:cantSplit w:val="true"/>
        </w:trPr>
        <w:tc>
          <w:tcPr>
            <w:tcW w:type="dxa" w:w="1247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5"/>
              </w:rPr>
              <w:t>询盘打分</w:t>
            </w:r>
          </w:p>
        </w:tc>
        <w:tc>
          <w:tcPr>
            <w:tcW w:type="dxa" w:w="737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贸易</w:t>
            </w:r>
          </w:p>
        </w:tc>
        <w:tc>
          <w:tcPr>
            <w:tcW w:type="dxa" w:w="2268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询盘池里的客户、机型、数量、目标价、来源渠道、历史成交</w:t>
            </w:r>
          </w:p>
        </w:tc>
        <w:tc>
          <w:tcPr>
            <w:tcW w:type="dxa" w:w="2608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意向分（0-100）、优先级排序、首响话术建议</w:t>
            </w:r>
          </w:p>
        </w:tc>
        <w:tc>
          <w:tcPr>
            <w:tcW w:type="dxa" w:w="1814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业务员决定先跟谁、用什么话术</w:t>
            </w:r>
          </w:p>
        </w:tc>
        <w:tc>
          <w:tcPr>
            <w:tcW w:type="dxa" w:w="737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规划中</w:t>
            </w:r>
          </w:p>
        </w:tc>
      </w:tr>
      <w:tr>
        <w:trPr>
          <w:cantSplit w:val="true"/>
        </w:trPr>
        <w:tc>
          <w:tcPr>
            <w:tcW w:type="dxa" w:w="1247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5"/>
              </w:rPr>
              <w:t>报价建议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贸易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机型、数量、客户等级、历史成交价、12 项成本卡、材料与汇率</w:t>
            </w:r>
          </w:p>
        </w:tc>
        <w:tc>
          <w:tcPr>
            <w:tcW w:type="dxa" w:w="2608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建议报价区间、目标价反算、毛利红线预警、给客户的让步梯度</w:t>
            </w:r>
          </w:p>
        </w:tc>
        <w:tc>
          <w:tcPr>
            <w:tcW w:type="dxa" w:w="1814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业务员定最终价；跌破红线必须走主管审批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已上线</w:t>
            </w:r>
          </w:p>
        </w:tc>
      </w:tr>
      <w:tr>
        <w:trPr>
          <w:cantSplit w:val="true"/>
        </w:trPr>
        <w:tc>
          <w:tcPr>
            <w:tcW w:type="dxa" w:w="1247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5"/>
              </w:rPr>
              <w:t>AI 排班</w:t>
            </w:r>
          </w:p>
        </w:tc>
        <w:tc>
          <w:tcPr>
            <w:tcW w:type="dxa" w:w="737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制造</w:t>
            </w:r>
          </w:p>
        </w:tc>
        <w:tc>
          <w:tcPr>
            <w:tcW w:type="dxa" w:w="2268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工单池 + 工艺标准工时 + 人员技能矩阵 + 设备可用性 + 交期优先级</w:t>
            </w:r>
          </w:p>
        </w:tc>
        <w:tc>
          <w:tcPr>
            <w:tcW w:type="dxa" w:w="2608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日期×班次×班组×产线×工单的排班表 + 冲突解释 + 替代方案</w:t>
            </w:r>
          </w:p>
        </w:tc>
        <w:tc>
          <w:tcPr>
            <w:tcW w:type="dxa" w:w="1814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车间主任确认或改班；加班、外协必须拍板</w:t>
            </w:r>
          </w:p>
        </w:tc>
        <w:tc>
          <w:tcPr>
            <w:tcW w:type="dxa" w:w="737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已上线</w:t>
            </w:r>
          </w:p>
        </w:tc>
      </w:tr>
      <w:tr>
        <w:trPr>
          <w:cantSplit w:val="true"/>
        </w:trPr>
        <w:tc>
          <w:tcPr>
            <w:tcW w:type="dxa" w:w="1247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5"/>
              </w:rPr>
              <w:t>工单副驾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制造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工单、工艺路线、齐套明细、报工流水、不良记录、追溯链路</w:t>
            </w:r>
          </w:p>
        </w:tc>
        <w:tc>
          <w:tcPr>
            <w:tcW w:type="dxa" w:w="2608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齐套预测、工艺工时建议、报工异常、瓶颈定位、完工预测 ETD、不良根因</w:t>
            </w:r>
          </w:p>
        </w:tc>
        <w:tc>
          <w:tcPr>
            <w:tcW w:type="dxa" w:w="1814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生产计划确认调整动作，AI 不改工单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已上线</w:t>
            </w:r>
          </w:p>
        </w:tc>
      </w:tr>
      <w:tr>
        <w:trPr>
          <w:cantSplit w:val="true"/>
        </w:trPr>
        <w:tc>
          <w:tcPr>
            <w:tcW w:type="dxa" w:w="1247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5"/>
              </w:rPr>
              <w:t>交期承诺</w:t>
            </w:r>
          </w:p>
        </w:tc>
        <w:tc>
          <w:tcPr>
            <w:tcW w:type="dxa" w:w="737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制造</w:t>
            </w:r>
          </w:p>
        </w:tc>
        <w:tc>
          <w:tcPr>
            <w:tcW w:type="dxa" w:w="2268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订单机型与数量、当前产能负荷、在产工单、物料采购周期</w:t>
            </w:r>
          </w:p>
        </w:tc>
        <w:tc>
          <w:tcPr>
            <w:tcW w:type="dxa" w:w="2608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可承诺日期 + 风险概率 + 兑现前提（备料/加班/外协）</w:t>
            </w:r>
          </w:p>
        </w:tc>
        <w:tc>
          <w:tcPr>
            <w:tcW w:type="dxa" w:w="1814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业务员对客户承诺交期</w:t>
            </w:r>
          </w:p>
        </w:tc>
        <w:tc>
          <w:tcPr>
            <w:tcW w:type="dxa" w:w="737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规划中</w:t>
            </w:r>
          </w:p>
        </w:tc>
      </w:tr>
      <w:tr>
        <w:trPr>
          <w:cantSplit w:val="true"/>
        </w:trPr>
        <w:tc>
          <w:tcPr>
            <w:tcW w:type="dxa" w:w="1247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5"/>
              </w:rPr>
              <w:t>单证预检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单证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客户单证（发票/装箱单/报关单）+ 订单应有值 + 25 条校验规则</w:t>
            </w:r>
          </w:p>
        </w:tc>
        <w:tc>
          <w:tcPr>
            <w:tcW w:type="dxa" w:w="2608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预判最可能被拦的前 3 条规则 + 差异明细 + 自动改单建议</w:t>
            </w:r>
          </w:p>
        </w:tc>
        <w:tc>
          <w:tcPr>
            <w:tcW w:type="dxa" w:w="1814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单证员确认改单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已上线</w:t>
            </w:r>
          </w:p>
        </w:tc>
      </w:tr>
      <w:tr>
        <w:trPr>
          <w:cantSplit w:val="true"/>
        </w:trPr>
        <w:tc>
          <w:tcPr>
            <w:tcW w:type="dxa" w:w="1247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5"/>
              </w:rPr>
              <w:t>收汇认领</w:t>
            </w:r>
          </w:p>
        </w:tc>
        <w:tc>
          <w:tcPr>
            <w:tcW w:type="dxa" w:w="737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财务</w:t>
            </w:r>
          </w:p>
        </w:tc>
        <w:tc>
          <w:tcPr>
            <w:tcW w:type="dxa" w:w="2268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水单付款人名称、金额、手续费、该客户未收订单余额</w:t>
            </w:r>
          </w:p>
        </w:tc>
        <w:tc>
          <w:tcPr>
            <w:tcW w:type="dxa" w:w="2608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付款主体推断 + 一笔款拆多单建议 + 差额解释 + 催收话术</w:t>
            </w:r>
          </w:p>
        </w:tc>
        <w:tc>
          <w:tcPr>
            <w:tcW w:type="dxa" w:w="1814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应收会计确认认领与拆分</w:t>
            </w:r>
          </w:p>
        </w:tc>
        <w:tc>
          <w:tcPr>
            <w:tcW w:type="dxa" w:w="737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已上线</w:t>
            </w:r>
          </w:p>
        </w:tc>
      </w:tr>
      <w:tr>
        <w:trPr>
          <w:cantSplit w:val="true"/>
        </w:trPr>
        <w:tc>
          <w:tcPr>
            <w:tcW w:type="dxa" w:w="1247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5"/>
              </w:rPr>
              <w:t>退税盯办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财务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退税批次、缺件清单、责任人、剩余天数、进项发票到位情况</w:t>
            </w:r>
          </w:p>
        </w:tc>
        <w:tc>
          <w:tcPr>
            <w:tcW w:type="dxa" w:w="2608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哪些批次会作废、缺件最可能卡在谁手里、催办顺序与优先级</w:t>
            </w:r>
          </w:p>
        </w:tc>
        <w:tc>
          <w:tcPr>
            <w:tcW w:type="dxa" w:w="1814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退税会计确认催办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已上线</w:t>
            </w:r>
          </w:p>
        </w:tc>
      </w:tr>
      <w:tr>
        <w:trPr>
          <w:cantSplit w:val="true"/>
        </w:trPr>
        <w:tc>
          <w:tcPr>
            <w:tcW w:type="dxa" w:w="1247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5"/>
              </w:rPr>
              <w:t>质量 AI</w:t>
            </w:r>
          </w:p>
        </w:tc>
        <w:tc>
          <w:tcPr>
            <w:tcW w:type="dxa" w:w="737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质量</w:t>
            </w:r>
          </w:p>
        </w:tc>
        <w:tc>
          <w:tcPr>
            <w:tcW w:type="dxa" w:w="2268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客诉内容、批次追溯链路、来料批次、设备与人员、历史 8D</w:t>
            </w:r>
          </w:p>
        </w:tc>
        <w:tc>
          <w:tcPr>
            <w:tcW w:type="dxa" w:w="2608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8D 前四步草稿 + Top3 根因 + 同批流向召回/挑选建议</w:t>
            </w:r>
          </w:p>
        </w:tc>
        <w:tc>
          <w:tcPr>
            <w:tcW w:type="dxa" w:w="1814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质量确认根因与召回范围</w:t>
            </w:r>
          </w:p>
        </w:tc>
        <w:tc>
          <w:tcPr>
            <w:tcW w:type="dxa" w:w="737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已上线</w:t>
            </w:r>
          </w:p>
        </w:tc>
      </w:tr>
      <w:tr>
        <w:trPr>
          <w:cantSplit w:val="true"/>
        </w:trPr>
        <w:tc>
          <w:tcPr>
            <w:tcW w:type="dxa" w:w="1247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5"/>
              </w:rPr>
              <w:t>认证合规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贸易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目标市场、机型、现有认证台账、市场准入规则库</w:t>
            </w:r>
          </w:p>
        </w:tc>
        <w:tc>
          <w:tcPr>
            <w:tcW w:type="dxa" w:w="2608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必备认证缺口 + 认证周期倒排（哪天必须启动）+ 标签语言要求</w:t>
            </w:r>
          </w:p>
        </w:tc>
        <w:tc>
          <w:tcPr>
            <w:tcW w:type="dxa" w:w="1814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认证专员确认启动续证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已上线</w:t>
            </w:r>
          </w:p>
        </w:tc>
      </w:tr>
      <w:tr>
        <w:trPr>
          <w:cantSplit w:val="true"/>
        </w:trPr>
        <w:tc>
          <w:tcPr>
            <w:tcW w:type="dxa" w:w="1247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5"/>
              </w:rPr>
              <w:t>经营问数</w:t>
            </w:r>
          </w:p>
        </w:tc>
        <w:tc>
          <w:tcPr>
            <w:tcW w:type="dxa" w:w="737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经营</w:t>
            </w:r>
          </w:p>
        </w:tc>
        <w:tc>
          <w:tcPr>
            <w:tcW w:type="dxa" w:w="2268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一句自然语言问题（如「上月欧洲毛利率多少」）</w:t>
            </w:r>
          </w:p>
        </w:tc>
        <w:tc>
          <w:tcPr>
            <w:tcW w:type="dxa" w:w="2608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口径解析 + 查数结果 + 归因 + 建议动作</w:t>
            </w:r>
          </w:p>
        </w:tc>
        <w:tc>
          <w:tcPr>
            <w:tcW w:type="dxa" w:w="1814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管理者判断结论是否可以行动</w:t>
            </w:r>
          </w:p>
        </w:tc>
        <w:tc>
          <w:tcPr>
            <w:tcW w:type="dxa" w:w="737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5"/>
              </w:rPr>
              <w:t>已上线</w:t>
            </w:r>
          </w:p>
        </w:tc>
      </w:tr>
    </w:tbl>
    <w:p>
      <w:pPr>
        <w:spacing w:before="120" w:after="40"/>
        <w:jc w:val="center"/>
      </w:pPr>
      <w:r>
        <w:drawing>
          <wp:inline xmlns:a="http://schemas.openxmlformats.org/drawingml/2006/main" xmlns:pic="http://schemas.openxmlformats.org/drawingml/2006/picture">
            <wp:extent cx="5976000" cy="336249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oc-cockpit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3624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微软雅黑" w:hAnsi="微软雅黑" w:eastAsia="微软雅黑"/>
          <w:b w:val="0"/>
          <w:i w:val="0"/>
          <w:color w:val="5B6678"/>
          <w:sz w:val="17"/>
        </w:rPr>
        <w:t>专项看板中心：57 块看板按域聚合，每个数字都能点进明细</w:t>
      </w:r>
    </w:p>
    <w:tbl>
      <w:tblPr>
        <w:tblW w:type="dxa" w:w="9412"/>
        <w:jc w:val="center"/>
        <w:tblLayout w:type="fixed"/>
        <w:tblLook w:firstColumn="1" w:firstRow="1" w:lastColumn="0" w:lastRow="0" w:noHBand="0" w:noVBand="1" w:val="04A0"/>
        <w:tblCellMar>
          <w:top w:w="120" w:type="dxa"/>
          <w:bottom w:w="120" w:type="dxa"/>
          <w:left w:w="160" w:type="dxa"/>
          <w:right w:w="160" w:type="dxa"/>
        </w:tblCellMar>
        <w:tblBorders>
          <w:top w:val="single" w:sz="1" w:space="0" w:color="FFF1E6"/>
          <w:left w:val="single" w:sz="1" w:space="0" w:color="FFF1E6"/>
          <w:bottom w:val="single" w:sz="1" w:space="0" w:color="FFF1E6"/>
          <w:right w:val="single" w:sz="1" w:space="0" w:color="FFF1E6"/>
          <w:insideH w:val="single" w:sz="1" w:space="0" w:color="FFF1E6"/>
          <w:insideV w:val="single" w:sz="1" w:space="0" w:color="FFF1E6"/>
        </w:tblBorders>
      </w:tblPr>
      <w:tblGrid>
        <w:gridCol w:w="9412"/>
      </w:tblGrid>
      <w:tr>
        <w:tc>
          <w:tcPr>
            <w:tcW w:type="dxa" w:w="9411"/>
            <w:shd w:val="clear" w:color="auto" w:fill="FFF1E6"/>
          </w:tcPr>
          <w:p>
            <w:pPr>
              <w:spacing w:after="40"/>
            </w:pPr>
            <w:r>
              <w:rPr>
                <w:rFonts w:ascii="微软雅黑" w:hAnsi="微软雅黑" w:eastAsia="微软雅黑"/>
                <w:b/>
                <w:i w:val="0"/>
                <w:color w:val="8A4B12"/>
                <w:sz w:val="19"/>
              </w:rPr>
              <w:t>规划中的两项</w:t>
            </w:r>
          </w:p>
          <w:p>
            <w:pPr>
              <w:spacing w:after="0" w:line="336" w:lineRule="auto"/>
            </w:pPr>
            <w:r>
              <w:rPr>
                <w:rFonts w:ascii="微软雅黑" w:hAnsi="微软雅黑" w:eastAsia="微软雅黑"/>
                <w:b w:val="0"/>
                <w:i w:val="0"/>
                <w:color w:val="8A4B12"/>
                <w:sz w:val="18"/>
              </w:rPr>
              <w:t>AI 询盘意向打分（AI-INQUIRY）与 AI 交期承诺 CTP（AI-ATP）目前只在能力中心展示，不承诺已上线；其余 10 项均可在演示环境点开并留下 AI 任务台账。</w:t>
            </w:r>
          </w:p>
        </w:tc>
      </w:tr>
    </w:tbl>
    <w:p>
      <w:pPr>
        <w:spacing w:after="40"/>
      </w:pPr>
    </w:p>
    <w:p>
      <w:pPr>
        <w:pageBreakBefore/>
        <w:spacing w:before="40" w:after="40"/>
      </w:pPr>
      <w:r>
        <w:rPr>
          <w:rFonts w:ascii="微软雅黑" w:hAnsi="微软雅黑" w:eastAsia="微软雅黑"/>
          <w:b/>
          <w:i w:val="0"/>
          <w:color w:val="F97316"/>
          <w:sz w:val="17"/>
        </w:rPr>
        <w:t>CHAPTER 08  TERMINALS &amp; GOVERNANCE</w:t>
      </w:r>
    </w:p>
    <w:p>
      <w:pPr>
        <w:spacing w:before="40" w:after="200"/>
        <w:pBdr>
          <w:bottom w:val="single" w:sz="10" w:space="6" w:color="F97316"/>
        </w:pBdr>
      </w:pPr>
      <w:r>
        <w:rPr>
          <w:rFonts w:ascii="微软雅黑" w:hAnsi="微软雅黑" w:eastAsia="微软雅黑"/>
          <w:b/>
          <w:i w:val="0"/>
          <w:color w:val="0A1628"/>
          <w:sz w:val="40"/>
        </w:rPr>
        <w:t>终端、权限与数据安全</w:t>
      </w:r>
    </w:p>
    <w:p>
      <w:pPr>
        <w:spacing w:before="0" w:after="140" w:line="348" w:lineRule="auto"/>
        <w:jc w:val="both"/>
      </w:pPr>
      <w:r>
        <w:rPr>
          <w:rFonts w:ascii="微软雅黑" w:hAnsi="微软雅黑" w:eastAsia="微软雅黑"/>
          <w:b w:val="0"/>
          <w:i w:val="0"/>
          <w:color w:val="1B2432"/>
          <w:sz w:val="21"/>
        </w:rPr>
        <w:t>同一套系统，五类终端，不同岗位看到不同的屏。权限不是「登录后什么都能看」，而是三层授权叠加：数据范围决定看到谁的数，字段级规则决定哪些字段看不见，菜单与操作决定能进哪些模块、能做哪些动作。</w:t>
      </w:r>
    </w:p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0A1628"/>
          <w:sz w:val="26"/>
        </w:rPr>
        <w:t>8.1 五类终端</w:t>
      </w:r>
    </w:p>
    <w:tbl>
      <w:tblPr>
        <w:tblW w:type="dxa" w:w="9412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CE2EC"/>
          <w:left w:val="single" w:sz="4" w:space="0" w:color="DCE2EC"/>
          <w:bottom w:val="single" w:sz="4" w:space="0" w:color="DCE2EC"/>
          <w:right w:val="single" w:sz="4" w:space="0" w:color="DCE2EC"/>
          <w:insideH w:val="single" w:sz="4" w:space="0" w:color="DCE2EC"/>
          <w:insideV w:val="single" w:sz="4" w:space="0" w:color="DCE2EC"/>
        </w:tblBorders>
        <w:tblCellMar>
          <w:top w:w="40" w:type="dxa"/>
          <w:bottom w:w="40" w:type="dxa"/>
          <w:left w:w="90" w:type="dxa"/>
          <w:right w:w="90" w:type="dxa"/>
        </w:tblCellMar>
      </w:tblPr>
      <w:tblGrid>
        <w:gridCol w:w="1927"/>
        <w:gridCol w:w="4876"/>
        <w:gridCol w:w="2608"/>
      </w:tblGrid>
      <w:tr>
        <w:trPr>
          <w:tblHeader w:val="true"/>
        </w:trPr>
        <w:tc>
          <w:tcPr>
            <w:tcW w:type="dxa" w:w="1928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终端</w:t>
            </w:r>
          </w:p>
        </w:tc>
        <w:tc>
          <w:tcPr>
            <w:tcW w:type="dxa" w:w="4876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典型场景</w:t>
            </w:r>
          </w:p>
        </w:tc>
        <w:tc>
          <w:tcPr>
            <w:tcW w:type="dxa" w:w="2608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入口</w:t>
            </w:r>
          </w:p>
        </w:tc>
      </w:tr>
      <w:tr>
        <w:trPr>
          <w:cantSplit w:val="true"/>
        </w:trPr>
        <w:tc>
          <w:tcPr>
            <w:tcW w:type="dxa" w:w="1928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7"/>
              </w:rPr>
              <w:t>PC 管理端</w:t>
            </w:r>
          </w:p>
        </w:tc>
        <w:tc>
          <w:tcPr>
            <w:tcW w:type="dxa" w:w="4876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业务、单证、财务、采购、计划、主数据全量操作</w:t>
            </w:r>
          </w:p>
        </w:tc>
        <w:tc>
          <w:tcPr>
            <w:tcW w:type="dxa" w:w="2608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/web/</w:t>
            </w:r>
          </w:p>
        </w:tc>
      </w:tr>
      <w:tr>
        <w:trPr>
          <w:cantSplit w:val="true"/>
        </w:trPr>
        <w:tc>
          <w:tcPr>
            <w:tcW w:type="dxa" w:w="1928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7"/>
              </w:rPr>
              <w:t>平板 / 手机</w:t>
            </w:r>
          </w:p>
        </w:tc>
        <w:tc>
          <w:tcPr>
            <w:tcW w:type="dxa" w:w="4876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扫码报工、扫码收货、盘点与检验</w:t>
            </w:r>
          </w:p>
        </w:tc>
        <w:tc>
          <w:tcPr>
            <w:tcW w:type="dxa" w:w="2608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/mobile/</w:t>
            </w:r>
          </w:p>
        </w:tc>
      </w:tr>
      <w:tr>
        <w:trPr>
          <w:cantSplit w:val="true"/>
        </w:trPr>
        <w:tc>
          <w:tcPr>
            <w:tcW w:type="dxa" w:w="1928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7"/>
              </w:rPr>
              <w:t>车间大屏</w:t>
            </w:r>
          </w:p>
        </w:tc>
        <w:tc>
          <w:tcPr>
            <w:tcW w:type="dxa" w:w="4876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产量、达成率、异常、设备状态，5 秒刷新</w:t>
            </w:r>
          </w:p>
        </w:tc>
        <w:tc>
          <w:tcPr>
            <w:tcW w:type="dxa" w:w="2608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/screen/workshop.html</w:t>
            </w:r>
          </w:p>
        </w:tc>
      </w:tr>
      <w:tr>
        <w:trPr>
          <w:cantSplit w:val="true"/>
        </w:trPr>
        <w:tc>
          <w:tcPr>
            <w:tcW w:type="dxa" w:w="1928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7"/>
              </w:rPr>
              <w:t>老板驾驶舱</w:t>
            </w:r>
          </w:p>
        </w:tc>
        <w:tc>
          <w:tcPr>
            <w:tcW w:type="dxa" w:w="4876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八项指标与两次穿透，适合会议室大屏</w:t>
            </w:r>
          </w:p>
        </w:tc>
        <w:tc>
          <w:tcPr>
            <w:tcW w:type="dxa" w:w="2608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/screen/boss.html</w:t>
            </w:r>
          </w:p>
        </w:tc>
      </w:tr>
      <w:tr>
        <w:trPr>
          <w:cantSplit w:val="true"/>
        </w:trPr>
        <w:tc>
          <w:tcPr>
            <w:tcW w:type="dxa" w:w="1928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7"/>
              </w:rPr>
              <w:t>只读展示</w:t>
            </w:r>
          </w:p>
        </w:tc>
        <w:tc>
          <w:tcPr>
            <w:tcW w:type="dxa" w:w="4876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对外演示与培训，不参与主流程改数</w:t>
            </w:r>
          </w:p>
        </w:tc>
        <w:tc>
          <w:tcPr>
            <w:tcW w:type="dxa" w:w="2608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演示账号只读入口</w:t>
            </w:r>
          </w:p>
        </w:tc>
      </w:tr>
    </w:tbl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0A1628"/>
          <w:sz w:val="26"/>
        </w:rPr>
        <w:t>8.2 三层授权</w:t>
      </w:r>
    </w:p>
    <w:tbl>
      <w:tblPr>
        <w:tblW w:type="dxa" w:w="9412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CE2EC"/>
          <w:left w:val="single" w:sz="4" w:space="0" w:color="DCE2EC"/>
          <w:bottom w:val="single" w:sz="4" w:space="0" w:color="DCE2EC"/>
          <w:right w:val="single" w:sz="4" w:space="0" w:color="DCE2EC"/>
          <w:insideH w:val="single" w:sz="4" w:space="0" w:color="DCE2EC"/>
          <w:insideV w:val="single" w:sz="4" w:space="0" w:color="DCE2EC"/>
        </w:tblBorders>
        <w:tblCellMar>
          <w:top w:w="40" w:type="dxa"/>
          <w:bottom w:w="40" w:type="dxa"/>
          <w:left w:w="90" w:type="dxa"/>
          <w:right w:w="90" w:type="dxa"/>
        </w:tblCellMar>
      </w:tblPr>
      <w:tblGrid>
        <w:gridCol w:w="1701"/>
        <w:gridCol w:w="3061"/>
        <w:gridCol w:w="4649"/>
      </w:tblGrid>
      <w:tr>
        <w:trPr>
          <w:tblHeader w:val="true"/>
        </w:trPr>
        <w:tc>
          <w:tcPr>
            <w:tcW w:type="dxa" w:w="1701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层级</w:t>
            </w:r>
          </w:p>
        </w:tc>
        <w:tc>
          <w:tcPr>
            <w:tcW w:type="dxa" w:w="3061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规则</w:t>
            </w:r>
          </w:p>
        </w:tc>
        <w:tc>
          <w:tcPr>
            <w:tcW w:type="dxa" w:w="4649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例子</w:t>
            </w:r>
          </w:p>
        </w:tc>
      </w:tr>
      <w:tr>
        <w:trPr>
          <w:cantSplit w:val="true"/>
        </w:trPr>
        <w:tc>
          <w:tcPr>
            <w:tcW w:type="dxa" w:w="1701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7"/>
              </w:rPr>
              <w:t>数据范围</w:t>
            </w:r>
          </w:p>
        </w:tc>
        <w:tc>
          <w:tcPr>
            <w:tcW w:type="dxa" w:w="3061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全部 / 本部门 / 本人</w:t>
            </w:r>
          </w:p>
        </w:tc>
        <w:tc>
          <w:tcPr>
            <w:tcW w:type="dxa" w:w="4649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业务员只看自己的客户；主管看本部门；高管看全公司</w:t>
            </w:r>
          </w:p>
        </w:tc>
      </w:tr>
      <w:tr>
        <w:trPr>
          <w:cantSplit w:val="true"/>
        </w:trPr>
        <w:tc>
          <w:tcPr>
            <w:tcW w:type="dxa" w:w="1701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7"/>
              </w:rPr>
              <w:t>字段级可见</w:t>
            </w:r>
          </w:p>
        </w:tc>
        <w:tc>
          <w:tcPr>
            <w:tcW w:type="dxa" w:w="3061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同一张表，字段也能藏</w:t>
            </w:r>
          </w:p>
        </w:tc>
        <w:tc>
          <w:tcPr>
            <w:tcW w:type="dxa" w:w="4649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成本、毛利、工资、供应商底价按角色决定看不看得见</w:t>
            </w:r>
          </w:p>
        </w:tc>
      </w:tr>
      <w:tr>
        <w:trPr>
          <w:cantSplit w:val="true"/>
        </w:trPr>
        <w:tc>
          <w:tcPr>
            <w:tcW w:type="dxa" w:w="1701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7"/>
              </w:rPr>
              <w:t>菜单与操作</w:t>
            </w:r>
          </w:p>
        </w:tc>
        <w:tc>
          <w:tcPr>
            <w:tcW w:type="dxa" w:w="3061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19 模块 × 5 类动作 = 696 格</w:t>
            </w:r>
          </w:p>
        </w:tc>
        <w:tc>
          <w:tcPr>
            <w:tcW w:type="dxa" w:w="4649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能否新增、修改、导出、审批，逐格开关，改后不被默认值覆盖</w:t>
            </w:r>
          </w:p>
        </w:tc>
      </w:tr>
    </w:tbl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0A1628"/>
          <w:sz w:val="26"/>
        </w:rPr>
        <w:t>8.3 数据与审计</w:t>
      </w:r>
    </w:p>
    <w:p>
      <w:pPr>
        <w:spacing w:before="0" w:after="80" w:line="336" w:lineRule="auto"/>
        <w:ind w:left="312" w:hanging="312"/>
      </w:pPr>
      <w:r>
        <w:rPr>
          <w:rFonts w:ascii="微软雅黑" w:hAnsi="微软雅黑" w:eastAsia="微软雅黑"/>
          <w:b/>
          <w:i w:val="0"/>
          <w:color w:val="F97316"/>
          <w:sz w:val="21"/>
        </w:rPr>
        <w:t xml:space="preserve">· </w:t>
      </w:r>
      <w:r>
        <w:rPr>
          <w:rFonts w:ascii="微软雅黑" w:hAnsi="微软雅黑" w:eastAsia="微软雅黑"/>
          <w:b w:val="0"/>
          <w:i w:val="0"/>
          <w:color w:val="1B2432"/>
          <w:sz w:val="21"/>
        </w:rPr>
        <w:t>审计日志与登录日志：谁在什么时候改了哪张单、改了哪个字段，可回看。</w:t>
      </w:r>
    </w:p>
    <w:p>
      <w:pPr>
        <w:spacing w:before="0" w:after="80" w:line="336" w:lineRule="auto"/>
        <w:ind w:left="312" w:hanging="312"/>
      </w:pPr>
      <w:r>
        <w:rPr>
          <w:rFonts w:ascii="微软雅黑" w:hAnsi="微软雅黑" w:eastAsia="微软雅黑"/>
          <w:b/>
          <w:i w:val="0"/>
          <w:color w:val="F97316"/>
          <w:sz w:val="21"/>
        </w:rPr>
        <w:t xml:space="preserve">· </w:t>
      </w:r>
      <w:r>
        <w:rPr>
          <w:rFonts w:ascii="微软雅黑" w:hAnsi="微软雅黑" w:eastAsia="微软雅黑"/>
          <w:b w:val="0"/>
          <w:i w:val="0"/>
          <w:color w:val="1B2432"/>
          <w:sz w:val="21"/>
        </w:rPr>
        <w:t>导入记录：主数据与期初库存导入有校验与失败明细，不覆盖历史单据。</w:t>
      </w:r>
    </w:p>
    <w:p>
      <w:pPr>
        <w:spacing w:before="0" w:after="80" w:line="336" w:lineRule="auto"/>
        <w:ind w:left="312" w:hanging="312"/>
      </w:pPr>
      <w:r>
        <w:rPr>
          <w:rFonts w:ascii="微软雅黑" w:hAnsi="微软雅黑" w:eastAsia="微软雅黑"/>
          <w:b/>
          <w:i w:val="0"/>
          <w:color w:val="F97316"/>
          <w:sz w:val="21"/>
        </w:rPr>
        <w:t xml:space="preserve">· </w:t>
      </w:r>
      <w:r>
        <w:rPr>
          <w:rFonts w:ascii="微软雅黑" w:hAnsi="微软雅黑" w:eastAsia="微软雅黑"/>
          <w:b w:val="0"/>
          <w:i w:val="0"/>
          <w:color w:val="1B2432"/>
          <w:sz w:val="21"/>
        </w:rPr>
        <w:t>备份与恢复：交付前做一次恢复演练；演示数据可一键重置，不污染生产库。</w:t>
      </w:r>
    </w:p>
    <w:p>
      <w:pPr>
        <w:spacing w:before="0" w:after="80" w:line="336" w:lineRule="auto"/>
        <w:ind w:left="312" w:hanging="312"/>
      </w:pPr>
      <w:r>
        <w:rPr>
          <w:rFonts w:ascii="微软雅黑" w:hAnsi="微软雅黑" w:eastAsia="微软雅黑"/>
          <w:b/>
          <w:i w:val="0"/>
          <w:color w:val="F97316"/>
          <w:sz w:val="21"/>
        </w:rPr>
        <w:t xml:space="preserve">· </w:t>
      </w:r>
      <w:r>
        <w:rPr>
          <w:rFonts w:ascii="微软雅黑" w:hAnsi="微软雅黑" w:eastAsia="微软雅黑"/>
          <w:b w:val="0"/>
          <w:i w:val="0"/>
          <w:color w:val="1B2432"/>
          <w:sz w:val="21"/>
        </w:rPr>
        <w:t>私有化部署：支持企业内网服务器，数据库可用 SQLite 或 MySQL，部署在子目录，不抢端口。</w:t>
      </w:r>
    </w:p>
    <w:p>
      <w:pPr>
        <w:spacing w:before="0" w:after="80" w:line="336" w:lineRule="auto"/>
        <w:ind w:left="312" w:hanging="312"/>
      </w:pPr>
      <w:r>
        <w:rPr>
          <w:rFonts w:ascii="微软雅黑" w:hAnsi="微软雅黑" w:eastAsia="微软雅黑"/>
          <w:b/>
          <w:i w:val="0"/>
          <w:color w:val="F97316"/>
          <w:sz w:val="21"/>
        </w:rPr>
        <w:t xml:space="preserve">· </w:t>
      </w:r>
      <w:r>
        <w:rPr>
          <w:rFonts w:ascii="微软雅黑" w:hAnsi="微软雅黑" w:eastAsia="微软雅黑"/>
          <w:b w:val="0"/>
          <w:i w:val="0"/>
          <w:color w:val="1B2432"/>
          <w:sz w:val="21"/>
        </w:rPr>
        <w:t>断网可用：内网部署时断公网不影响核心业务；只有平台渠道同步与外部接口会受影响。</w:t>
      </w:r>
    </w:p>
    <w:p>
      <w:pPr>
        <w:spacing w:before="120" w:after="40"/>
        <w:jc w:val="center"/>
      </w:pPr>
      <w:r>
        <w:drawing>
          <wp:inline xmlns:a="http://schemas.openxmlformats.org/drawingml/2006/main" xmlns:pic="http://schemas.openxmlformats.org/drawingml/2006/picture">
            <wp:extent cx="5976000" cy="336249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oc-boss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3624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微软雅黑" w:hAnsi="微软雅黑" w:eastAsia="微软雅黑"/>
          <w:b w:val="0"/>
          <w:i w:val="0"/>
          <w:color w:val="5B6678"/>
          <w:sz w:val="17"/>
        </w:rPr>
        <w:t>老板经营驾驶舱：八项指标，任意数字两次穿透到订单级明细</w:t>
      </w:r>
    </w:p>
    <w:p>
      <w:pPr>
        <w:pageBreakBefore/>
        <w:spacing w:before="40" w:after="40"/>
      </w:pPr>
      <w:r>
        <w:rPr>
          <w:rFonts w:ascii="微软雅黑" w:hAnsi="微软雅黑" w:eastAsia="微软雅黑"/>
          <w:b/>
          <w:i w:val="0"/>
          <w:color w:val="F97316"/>
          <w:sz w:val="17"/>
        </w:rPr>
        <w:t>CHAPTER 09  DELIVERY &amp; SERVICE</w:t>
      </w:r>
    </w:p>
    <w:p>
      <w:pPr>
        <w:spacing w:before="40" w:after="200"/>
        <w:pBdr>
          <w:bottom w:val="single" w:sz="10" w:space="6" w:color="F97316"/>
        </w:pBdr>
      </w:pPr>
      <w:r>
        <w:rPr>
          <w:rFonts w:ascii="微软雅黑" w:hAnsi="微软雅黑" w:eastAsia="微软雅黑"/>
          <w:b/>
          <w:i w:val="0"/>
          <w:color w:val="0A1628"/>
          <w:sz w:val="40"/>
        </w:rPr>
        <w:t>实施交付与服务承诺</w:t>
      </w:r>
    </w:p>
    <w:p>
      <w:pPr>
        <w:spacing w:before="0" w:after="140" w:line="348" w:lineRule="auto"/>
        <w:jc w:val="both"/>
      </w:pPr>
      <w:r>
        <w:rPr>
          <w:rFonts w:ascii="微软雅黑" w:hAnsi="微软雅黑" w:eastAsia="微软雅黑"/>
          <w:b w:val="0"/>
          <w:i w:val="0"/>
          <w:color w:val="1B2432"/>
          <w:sz w:val="21"/>
        </w:rPr>
        <w:t>实施不按「装软件」推进，而按「跑通一条主线」推进。下面四个阶段，每个阶段都有明确交付物与验收口径；只上贸易 + 单证 + 财务主线通常 6–8 周，含生产制造与仓储质量通常 10–14 周。</w:t>
      </w:r>
    </w:p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0A1628"/>
          <w:sz w:val="26"/>
        </w:rPr>
        <w:t>9.1 四阶段节奏</w:t>
      </w:r>
    </w:p>
    <w:tbl>
      <w:tblPr>
        <w:tblW w:type="dxa" w:w="9412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CE2EC"/>
          <w:left w:val="single" w:sz="4" w:space="0" w:color="DCE2EC"/>
          <w:bottom w:val="single" w:sz="4" w:space="0" w:color="DCE2EC"/>
          <w:right w:val="single" w:sz="4" w:space="0" w:color="DCE2EC"/>
          <w:insideH w:val="single" w:sz="4" w:space="0" w:color="DCE2EC"/>
          <w:insideV w:val="single" w:sz="4" w:space="0" w:color="DCE2EC"/>
        </w:tblBorders>
        <w:tblCellMar>
          <w:top w:w="40" w:type="dxa"/>
          <w:bottom w:w="40" w:type="dxa"/>
          <w:left w:w="90" w:type="dxa"/>
          <w:right w:w="90" w:type="dxa"/>
        </w:tblCellMar>
      </w:tblPr>
      <w:tblGrid>
        <w:gridCol w:w="2268"/>
        <w:gridCol w:w="4876"/>
        <w:gridCol w:w="2268"/>
      </w:tblGrid>
      <w:tr>
        <w:trPr>
          <w:tblHeader w:val="true"/>
        </w:trPr>
        <w:tc>
          <w:tcPr>
            <w:tcW w:type="dxa" w:w="2268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阶段</w:t>
            </w:r>
          </w:p>
        </w:tc>
        <w:tc>
          <w:tcPr>
            <w:tcW w:type="dxa" w:w="4876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主要工作</w:t>
            </w:r>
          </w:p>
        </w:tc>
        <w:tc>
          <w:tcPr>
            <w:tcW w:type="dxa" w:w="2268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交付物</w:t>
            </w:r>
          </w:p>
        </w:tc>
      </w:tr>
      <w:tr>
        <w:trPr>
          <w:cantSplit w:val="true"/>
        </w:trPr>
        <w:tc>
          <w:tcPr>
            <w:tcW w:type="dxa" w:w="2268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第 1 阶段 · 诊断（1–2 周）</w:t>
            </w:r>
          </w:p>
        </w:tc>
        <w:tc>
          <w:tcPr>
            <w:tcW w:type="dxa" w:w="4876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梳理主数据、单据流与审批口径；确认 19 个业务域里先上哪几个，形成一页范围清单。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主数据清单、流程差异表、上线范围</w:t>
            </w:r>
          </w:p>
        </w:tc>
      </w:tr>
      <w:tr>
        <w:trPr>
          <w:cantSplit w:val="true"/>
        </w:trPr>
        <w:tc>
          <w:tcPr>
            <w:tcW w:type="dxa" w:w="2268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第 2 阶段 · 配置（2–3 周）</w:t>
            </w:r>
          </w:p>
        </w:tc>
        <w:tc>
          <w:tcPr>
            <w:tcW w:type="dxa" w:w="4876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导入机型 / SKU / 客户 / 供应商与期初库存；配置角色权限、编号规则、打印模板、单证规则。</w:t>
            </w:r>
          </w:p>
        </w:tc>
        <w:tc>
          <w:tcPr>
            <w:tcW w:type="dxa" w:w="2268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可登录的测试环境、权限矩阵确认单</w:t>
            </w:r>
          </w:p>
        </w:tc>
      </w:tr>
      <w:tr>
        <w:trPr>
          <w:cantSplit w:val="true"/>
        </w:trPr>
        <w:tc>
          <w:tcPr>
            <w:tcW w:type="dxa" w:w="2268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第 3 阶段 · 试运行（2–4 周）</w:t>
            </w:r>
          </w:p>
        </w:tc>
        <w:tc>
          <w:tcPr>
            <w:tcW w:type="dxa" w:w="4876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选一条产品线跑通「询盘 → 报价 → 订单 → 单证 → 出运 → 收汇 → 退税」，并行 Excel 对账。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试运行报告、差异处理清单</w:t>
            </w:r>
          </w:p>
        </w:tc>
      </w:tr>
      <w:tr>
        <w:trPr>
          <w:cantSplit w:val="true"/>
        </w:trPr>
        <w:tc>
          <w:tcPr>
            <w:tcW w:type="dxa" w:w="2268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第 4 阶段 · 验收（1 周）</w:t>
            </w:r>
          </w:p>
        </w:tc>
        <w:tc>
          <w:tcPr>
            <w:tcW w:type="dxa" w:w="4876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按验收口径逐项打勾，培训关键用户，交付账号、文档与备份方案。</w:t>
            </w:r>
          </w:p>
        </w:tc>
        <w:tc>
          <w:tcPr>
            <w:tcW w:type="dxa" w:w="2268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验收单、培训记录、运维手册</w:t>
            </w:r>
          </w:p>
        </w:tc>
      </w:tr>
    </w:tbl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0A1628"/>
          <w:sz w:val="26"/>
        </w:rPr>
        <w:t>9.2 三种交付形态</w:t>
      </w:r>
    </w:p>
    <w:tbl>
      <w:tblPr>
        <w:tblW w:type="dxa" w:w="9412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CE2EC"/>
          <w:left w:val="single" w:sz="4" w:space="0" w:color="DCE2EC"/>
          <w:bottom w:val="single" w:sz="4" w:space="0" w:color="DCE2EC"/>
          <w:right w:val="single" w:sz="4" w:space="0" w:color="DCE2EC"/>
          <w:insideH w:val="single" w:sz="4" w:space="0" w:color="DCE2EC"/>
          <w:insideV w:val="single" w:sz="4" w:space="0" w:color="DCE2EC"/>
        </w:tblBorders>
        <w:tblCellMar>
          <w:top w:w="40" w:type="dxa"/>
          <w:bottom w:w="40" w:type="dxa"/>
          <w:left w:w="90" w:type="dxa"/>
          <w:right w:w="90" w:type="dxa"/>
        </w:tblCellMar>
      </w:tblPr>
      <w:tblGrid>
        <w:gridCol w:w="1814"/>
        <w:gridCol w:w="4762"/>
        <w:gridCol w:w="2835"/>
      </w:tblGrid>
      <w:tr>
        <w:trPr>
          <w:tblHeader w:val="true"/>
        </w:trPr>
        <w:tc>
          <w:tcPr>
            <w:tcW w:type="dxa" w:w="1814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形态</w:t>
            </w:r>
          </w:p>
        </w:tc>
        <w:tc>
          <w:tcPr>
            <w:tcW w:type="dxa" w:w="4762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说明</w:t>
            </w:r>
          </w:p>
        </w:tc>
        <w:tc>
          <w:tcPr>
            <w:tcW w:type="dxa" w:w="2835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技术 / 入口</w:t>
            </w:r>
          </w:p>
        </w:tc>
      </w:tr>
      <w:tr>
        <w:trPr>
          <w:cantSplit w:val="true"/>
        </w:trPr>
        <w:tc>
          <w:tcPr>
            <w:tcW w:type="dxa" w:w="1814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7"/>
              </w:rPr>
              <w:t>云演示</w:t>
            </w:r>
          </w:p>
        </w:tc>
        <w:tc>
          <w:tcPr>
            <w:tcW w:type="dxa" w:w="4762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公网子目录部署，开箱即用；适合选型期与远程演示。</w:t>
            </w:r>
          </w:p>
        </w:tc>
        <w:tc>
          <w:tcPr>
            <w:tcW w:type="dxa" w:w="2835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p.zerocod.cn/wai-diandonggongju/</w:t>
            </w:r>
          </w:p>
        </w:tc>
      </w:tr>
      <w:tr>
        <w:trPr>
          <w:cantSplit w:val="true"/>
        </w:trPr>
        <w:tc>
          <w:tcPr>
            <w:tcW w:type="dxa" w:w="1814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7"/>
              </w:rPr>
              <w:t>本地私有化</w:t>
            </w:r>
          </w:p>
        </w:tc>
        <w:tc>
          <w:tcPr>
            <w:tcW w:type="dxa" w:w="4762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部署在企业内网服务器，数据不出厂；断网可完整运行。</w:t>
            </w:r>
          </w:p>
        </w:tc>
        <w:tc>
          <w:tcPr>
            <w:tcW w:type="dxa" w:w="2835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PHP 8.3 + SQLite / MySQL</w:t>
            </w:r>
          </w:p>
        </w:tc>
      </w:tr>
      <w:tr>
        <w:trPr>
          <w:cantSplit w:val="true"/>
        </w:trPr>
        <w:tc>
          <w:tcPr>
            <w:tcW w:type="dxa" w:w="1814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7"/>
              </w:rPr>
              <w:t>子目录共存</w:t>
            </w:r>
          </w:p>
        </w:tc>
        <w:tc>
          <w:tcPr>
            <w:tcW w:type="dxa" w:w="4762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挂在已有域名子目录，不抢端口、不影响现有站点。</w:t>
            </w:r>
          </w:p>
        </w:tc>
        <w:tc>
          <w:tcPr>
            <w:tcW w:type="dxa" w:w="2835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/wai-diandonggongju/ 一级目录</w:t>
            </w:r>
          </w:p>
        </w:tc>
      </w:tr>
    </w:tbl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0A1628"/>
          <w:sz w:val="26"/>
        </w:rPr>
        <w:t>9.3 服务承诺与边界</w:t>
      </w:r>
    </w:p>
    <w:tbl>
      <w:tblPr>
        <w:tblW w:type="dxa" w:w="9412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CE2EC"/>
          <w:left w:val="single" w:sz="4" w:space="0" w:color="DCE2EC"/>
          <w:bottom w:val="single" w:sz="4" w:space="0" w:color="DCE2EC"/>
          <w:right w:val="single" w:sz="4" w:space="0" w:color="DCE2EC"/>
          <w:insideH w:val="single" w:sz="4" w:space="0" w:color="DCE2EC"/>
          <w:insideV w:val="single" w:sz="4" w:space="0" w:color="DCE2EC"/>
        </w:tblBorders>
        <w:tblCellMar>
          <w:top w:w="40" w:type="dxa"/>
          <w:bottom w:w="40" w:type="dxa"/>
          <w:left w:w="90" w:type="dxa"/>
          <w:right w:w="90" w:type="dxa"/>
        </w:tblCellMar>
      </w:tblPr>
      <w:tblGrid>
        <w:gridCol w:w="1701"/>
        <w:gridCol w:w="7711"/>
      </w:tblGrid>
      <w:tr>
        <w:trPr>
          <w:tblHeader w:val="true"/>
        </w:trPr>
        <w:tc>
          <w:tcPr>
            <w:tcW w:type="dxa" w:w="1701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7710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承诺</w:t>
            </w:r>
          </w:p>
        </w:tc>
      </w:tr>
      <w:tr>
        <w:trPr>
          <w:cantSplit w:val="true"/>
        </w:trPr>
        <w:tc>
          <w:tcPr>
            <w:tcW w:type="dxa" w:w="1701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7"/>
              </w:rPr>
              <w:t>响应</w:t>
            </w:r>
          </w:p>
        </w:tc>
        <w:tc>
          <w:tcPr>
            <w:tcW w:type="dxa" w:w="7710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工作日 9:00–18:00 在线响应，紧急问题 2 小时内给处置方案。</w:t>
            </w:r>
          </w:p>
        </w:tc>
      </w:tr>
      <w:tr>
        <w:trPr>
          <w:cantSplit w:val="true"/>
        </w:trPr>
        <w:tc>
          <w:tcPr>
            <w:tcW w:type="dxa" w:w="1701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7"/>
              </w:rPr>
              <w:t>培训</w:t>
            </w:r>
          </w:p>
        </w:tc>
        <w:tc>
          <w:tcPr>
            <w:tcW w:type="dxa" w:w="7710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管理员 1 场 + 关键用户 2 场 + 岗位操作视频；新员工可看只读参考。</w:t>
            </w:r>
          </w:p>
        </w:tc>
      </w:tr>
      <w:tr>
        <w:trPr>
          <w:cantSplit w:val="true"/>
        </w:trPr>
        <w:tc>
          <w:tcPr>
            <w:tcW w:type="dxa" w:w="1701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7"/>
              </w:rPr>
              <w:t>版本</w:t>
            </w:r>
          </w:p>
        </w:tc>
        <w:tc>
          <w:tcPr>
            <w:tcW w:type="dxa" w:w="7710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同一大版本内免费更新；功能清单、PPT、手册随版本同步替换。</w:t>
            </w:r>
          </w:p>
        </w:tc>
      </w:tr>
      <w:tr>
        <w:trPr>
          <w:cantSplit w:val="true"/>
        </w:trPr>
        <w:tc>
          <w:tcPr>
            <w:tcW w:type="dxa" w:w="1701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7"/>
              </w:rPr>
              <w:t>健康检查</w:t>
            </w:r>
          </w:p>
        </w:tc>
        <w:tc>
          <w:tcPr>
            <w:tcW w:type="dxa" w:w="7710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每季度一次数据体检：主数据完整度、单证校验拦截率、权限越权扫描。</w:t>
            </w:r>
          </w:p>
        </w:tc>
      </w:tr>
      <w:tr>
        <w:trPr>
          <w:cantSplit w:val="true"/>
        </w:trPr>
        <w:tc>
          <w:tcPr>
            <w:tcW w:type="dxa" w:w="1701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7"/>
              </w:rPr>
              <w:t>数据</w:t>
            </w:r>
          </w:p>
        </w:tc>
        <w:tc>
          <w:tcPr>
            <w:tcW w:type="dxa" w:w="7710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交付前提供备份与恢复演练；演示数据可一键重置，不污染生产库。</w:t>
            </w:r>
          </w:p>
        </w:tc>
      </w:tr>
      <w:tr>
        <w:trPr>
          <w:cantSplit w:val="true"/>
        </w:trPr>
        <w:tc>
          <w:tcPr>
            <w:tcW w:type="dxa" w:w="1701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7"/>
              </w:rPr>
              <w:t>边界</w:t>
            </w:r>
          </w:p>
        </w:tc>
        <w:tc>
          <w:tcPr>
            <w:tcW w:type="dxa" w:w="7710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不承诺替代企业做账与报关申报；系统输出的是可申报的数据与单据。</w:t>
            </w:r>
          </w:p>
        </w:tc>
      </w:tr>
    </w:tbl>
    <w:tbl>
      <w:tblPr>
        <w:tblW w:type="dxa" w:w="9412"/>
        <w:jc w:val="center"/>
        <w:tblLayout w:type="fixed"/>
        <w:tblLook w:firstColumn="1" w:firstRow="1" w:lastColumn="0" w:lastRow="0" w:noHBand="0" w:noVBand="1" w:val="04A0"/>
        <w:tblCellMar>
          <w:top w:w="120" w:type="dxa"/>
          <w:bottom w:w="120" w:type="dxa"/>
          <w:left w:w="160" w:type="dxa"/>
          <w:right w:w="160" w:type="dxa"/>
        </w:tblCellMar>
        <w:tblBorders>
          <w:top w:val="single" w:sz="1" w:space="0" w:color="FFF1E6"/>
          <w:left w:val="single" w:sz="1" w:space="0" w:color="FFF1E6"/>
          <w:bottom w:val="single" w:sz="1" w:space="0" w:color="FFF1E6"/>
          <w:right w:val="single" w:sz="1" w:space="0" w:color="FFF1E6"/>
          <w:insideH w:val="single" w:sz="1" w:space="0" w:color="FFF1E6"/>
          <w:insideV w:val="single" w:sz="1" w:space="0" w:color="FFF1E6"/>
        </w:tblBorders>
      </w:tblPr>
      <w:tblGrid>
        <w:gridCol w:w="9412"/>
      </w:tblGrid>
      <w:tr>
        <w:tc>
          <w:tcPr>
            <w:tcW w:type="dxa" w:w="9411"/>
            <w:shd w:val="clear" w:color="auto" w:fill="FFF1E6"/>
          </w:tcPr>
          <w:p>
            <w:pPr>
              <w:spacing w:after="40"/>
            </w:pPr>
            <w:r>
              <w:rPr>
                <w:rFonts w:ascii="微软雅黑" w:hAnsi="微软雅黑" w:eastAsia="微软雅黑"/>
                <w:b/>
                <w:i w:val="0"/>
                <w:color w:val="8A4B12"/>
                <w:sz w:val="19"/>
              </w:rPr>
              <w:t>验收口径（建议写进合同附件）</w:t>
            </w:r>
          </w:p>
          <w:p>
            <w:pPr>
              <w:spacing w:after="0" w:line="336" w:lineRule="auto"/>
            </w:pPr>
            <w:r>
              <w:rPr>
                <w:rFonts w:ascii="微软雅黑" w:hAnsi="微软雅黑" w:eastAsia="微软雅黑"/>
                <w:b w:val="0"/>
                <w:i w:val="0"/>
                <w:color w:val="8A4B12"/>
                <w:sz w:val="18"/>
              </w:rPr>
              <w:t>① 一条产品线跑通「询盘 → 报价 → 订单 → 单证 → 出运 → 收汇 → 退税」；② 25 条单证规则可按企业口径调整并生效；③ 29 个角色权限与数据范围配置完成；④ 关键用户完成培训并能独立开单、过单证、认领水单；⑤ 备份与恢复演练通过。</w:t>
            </w:r>
          </w:p>
        </w:tc>
      </w:tr>
    </w:tbl>
    <w:p>
      <w:pPr>
        <w:spacing w:after="40"/>
      </w:pPr>
    </w:p>
    <w:p>
      <w:pPr>
        <w:pageBreakBefore/>
        <w:spacing w:before="40" w:after="40"/>
      </w:pPr>
      <w:r>
        <w:rPr>
          <w:rFonts w:ascii="微软雅黑" w:hAnsi="微软雅黑" w:eastAsia="微软雅黑"/>
          <w:b/>
          <w:i w:val="0"/>
          <w:color w:val="F97316"/>
          <w:sz w:val="17"/>
        </w:rPr>
        <w:t>CHAPTER 10  GLOSSARY &amp; RESOURCES</w:t>
      </w:r>
    </w:p>
    <w:p>
      <w:pPr>
        <w:spacing w:before="40" w:after="200"/>
        <w:pBdr>
          <w:bottom w:val="single" w:sz="10" w:space="6" w:color="F97316"/>
        </w:pBdr>
      </w:pPr>
      <w:r>
        <w:rPr>
          <w:rFonts w:ascii="微软雅黑" w:hAnsi="微软雅黑" w:eastAsia="微软雅黑"/>
          <w:b/>
          <w:i w:val="0"/>
          <w:color w:val="0A1628"/>
          <w:sz w:val="40"/>
        </w:rPr>
        <w:t>术语表与资料索引</w:t>
      </w:r>
    </w:p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0A1628"/>
          <w:sz w:val="26"/>
        </w:rPr>
        <w:t>10.1 术语表</w:t>
      </w:r>
    </w:p>
    <w:tbl>
      <w:tblPr>
        <w:tblW w:type="dxa" w:w="9412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CE2EC"/>
          <w:left w:val="single" w:sz="4" w:space="0" w:color="DCE2EC"/>
          <w:bottom w:val="single" w:sz="4" w:space="0" w:color="DCE2EC"/>
          <w:right w:val="single" w:sz="4" w:space="0" w:color="DCE2EC"/>
          <w:insideH w:val="single" w:sz="4" w:space="0" w:color="DCE2EC"/>
          <w:insideV w:val="single" w:sz="4" w:space="0" w:color="DCE2EC"/>
        </w:tblBorders>
        <w:tblCellMar>
          <w:top w:w="40" w:type="dxa"/>
          <w:bottom w:w="40" w:type="dxa"/>
          <w:left w:w="90" w:type="dxa"/>
          <w:right w:w="90" w:type="dxa"/>
        </w:tblCellMar>
      </w:tblPr>
      <w:tblGrid>
        <w:gridCol w:w="1701"/>
        <w:gridCol w:w="7711"/>
      </w:tblGrid>
      <w:tr>
        <w:trPr>
          <w:tblHeader w:val="true"/>
        </w:trPr>
        <w:tc>
          <w:tcPr>
            <w:tcW w:type="dxa" w:w="1701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术语</w:t>
            </w:r>
          </w:p>
        </w:tc>
        <w:tc>
          <w:tcPr>
            <w:tcW w:type="dxa" w:w="7710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解释</w:t>
            </w:r>
          </w:p>
        </w:tc>
      </w:tr>
      <w:tr>
        <w:trPr>
          <w:cantSplit w:val="true"/>
        </w:trPr>
        <w:tc>
          <w:tcPr>
            <w:tcW w:type="dxa" w:w="1701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7"/>
              </w:rPr>
              <w:t>OEM / ODM</w:t>
            </w:r>
          </w:p>
        </w:tc>
        <w:tc>
          <w:tcPr>
            <w:tcW w:type="dxa" w:w="7710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贴牌生产 / 设计代工。OEM 按客户品牌与图纸生产，ODM 由工厂提供设计与产品，客户贴牌。</w:t>
            </w:r>
          </w:p>
        </w:tc>
      </w:tr>
      <w:tr>
        <w:trPr>
          <w:cantSplit w:val="true"/>
        </w:trPr>
        <w:tc>
          <w:tcPr>
            <w:tcW w:type="dxa" w:w="1701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7"/>
              </w:rPr>
              <w:t>BOM</w:t>
            </w:r>
          </w:p>
        </w:tc>
        <w:tc>
          <w:tcPr>
            <w:tcW w:type="dxa" w:w="7710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物料清单。多层 BOM 描述整机到零件、包材与辅料的用量关系，是成本卡与 MRP 的基础。</w:t>
            </w:r>
          </w:p>
        </w:tc>
      </w:tr>
      <w:tr>
        <w:trPr>
          <w:cantSplit w:val="true"/>
        </w:trPr>
        <w:tc>
          <w:tcPr>
            <w:tcW w:type="dxa" w:w="1701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7"/>
              </w:rPr>
              <w:t>MRP</w:t>
            </w:r>
          </w:p>
        </w:tc>
        <w:tc>
          <w:tcPr>
            <w:tcW w:type="dxa" w:w="7710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物料需求计划。按订单、库存、在途与采购周期计算净需求与到货时间。</w:t>
            </w:r>
          </w:p>
        </w:tc>
      </w:tr>
      <w:tr>
        <w:trPr>
          <w:cantSplit w:val="true"/>
        </w:trPr>
        <w:tc>
          <w:tcPr>
            <w:tcW w:type="dxa" w:w="1701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7"/>
              </w:rPr>
              <w:t>齐套</w:t>
            </w:r>
          </w:p>
        </w:tc>
        <w:tc>
          <w:tcPr>
            <w:tcW w:type="dxa" w:w="7710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一张工单所需物料是否全部到位。齐套率与缺料清单决定最快开工日。</w:t>
            </w:r>
          </w:p>
        </w:tc>
      </w:tr>
      <w:tr>
        <w:trPr>
          <w:cantSplit w:val="true"/>
        </w:trPr>
        <w:tc>
          <w:tcPr>
            <w:tcW w:type="dxa" w:w="1701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7"/>
              </w:rPr>
              <w:t>单证一致性</w:t>
            </w:r>
          </w:p>
        </w:tc>
        <w:tc>
          <w:tcPr>
            <w:tcW w:type="dxa" w:w="7710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发票、装箱单、提单、报关单、原产地证、保险单、授权书之间的字段必须互相吻合。</w:t>
            </w:r>
          </w:p>
        </w:tc>
      </w:tr>
      <w:tr>
        <w:trPr>
          <w:cantSplit w:val="true"/>
        </w:trPr>
        <w:tc>
          <w:tcPr>
            <w:tcW w:type="dxa" w:w="1701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7"/>
              </w:rPr>
              <w:t>HS 编码</w:t>
            </w:r>
          </w:p>
        </w:tc>
        <w:tc>
          <w:tcPr>
            <w:tcW w:type="dxa" w:w="7710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商品名称及编码协调制度，决定出口申报与退税率；同一机型必须与档案一致。</w:t>
            </w:r>
          </w:p>
        </w:tc>
      </w:tr>
      <w:tr>
        <w:trPr>
          <w:cantSplit w:val="true"/>
        </w:trPr>
        <w:tc>
          <w:tcPr>
            <w:tcW w:type="dxa" w:w="1701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7"/>
              </w:rPr>
              <w:t>CTP</w:t>
            </w:r>
          </w:p>
        </w:tc>
        <w:tc>
          <w:tcPr>
            <w:tcW w:type="dxa" w:w="7710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可承诺交期（Capable to Promise）。按产能余量、物料齐套与历史达成率推算可承诺日期。</w:t>
            </w:r>
          </w:p>
        </w:tc>
      </w:tr>
      <w:tr>
        <w:trPr>
          <w:cantSplit w:val="true"/>
        </w:trPr>
        <w:tc>
          <w:tcPr>
            <w:tcW w:type="dxa" w:w="1701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7"/>
              </w:rPr>
              <w:t>8D</w:t>
            </w:r>
          </w:p>
        </w:tc>
        <w:tc>
          <w:tcPr>
            <w:tcW w:type="dxa" w:w="7710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八步纠正措施报告，用于客诉与重大不良的根因分析与永久对策。</w:t>
            </w:r>
          </w:p>
        </w:tc>
      </w:tr>
      <w:tr>
        <w:trPr>
          <w:cantSplit w:val="true"/>
        </w:trPr>
        <w:tc>
          <w:tcPr>
            <w:tcW w:type="dxa" w:w="1701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7"/>
              </w:rPr>
              <w:t>水单</w:t>
            </w:r>
          </w:p>
        </w:tc>
        <w:tc>
          <w:tcPr>
            <w:tcW w:type="dxa" w:w="7710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银行收汇凭证。系统按付款人、金额、币种与日期匹配未收订单，人工确认后核销。</w:t>
            </w:r>
          </w:p>
        </w:tc>
      </w:tr>
      <w:tr>
        <w:trPr>
          <w:cantSplit w:val="true"/>
        </w:trPr>
        <w:tc>
          <w:tcPr>
            <w:tcW w:type="dxa" w:w="1701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7"/>
              </w:rPr>
              <w:t>退税批次</w:t>
            </w:r>
          </w:p>
        </w:tc>
        <w:tc>
          <w:tcPr>
            <w:tcW w:type="dxa" w:w="7710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按申报周期归集的出口退税单据集合；缺件会导致整批延误甚至作废。</w:t>
            </w:r>
          </w:p>
        </w:tc>
      </w:tr>
      <w:tr>
        <w:trPr>
          <w:cantSplit w:val="true"/>
        </w:trPr>
        <w:tc>
          <w:tcPr>
            <w:tcW w:type="dxa" w:w="1701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7"/>
              </w:rPr>
              <w:t>放货规则</w:t>
            </w:r>
          </w:p>
        </w:tc>
        <w:tc>
          <w:tcPr>
            <w:tcW w:type="dxa" w:w="7710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订单在什么条件下允许放货（订金比例、授信余额、单证齐套、认证有效）。</w:t>
            </w:r>
          </w:p>
        </w:tc>
      </w:tr>
      <w:tr>
        <w:trPr>
          <w:cantSplit w:val="true"/>
        </w:trPr>
        <w:tc>
          <w:tcPr>
            <w:tcW w:type="dxa" w:w="1701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7"/>
              </w:rPr>
              <w:t>人在回路</w:t>
            </w:r>
          </w:p>
        </w:tc>
        <w:tc>
          <w:tcPr>
            <w:tcW w:type="dxa" w:w="7710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AI 只给建议与证据，最终由人确认或采纳，系统保留操作留痕。</w:t>
            </w:r>
          </w:p>
        </w:tc>
      </w:tr>
    </w:tbl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0A1628"/>
          <w:sz w:val="26"/>
        </w:rPr>
        <w:t>10.2 演示账号</w:t>
      </w:r>
    </w:p>
    <w:tbl>
      <w:tblPr>
        <w:tblW w:type="dxa" w:w="9412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CE2EC"/>
          <w:left w:val="single" w:sz="4" w:space="0" w:color="DCE2EC"/>
          <w:bottom w:val="single" w:sz="4" w:space="0" w:color="DCE2EC"/>
          <w:right w:val="single" w:sz="4" w:space="0" w:color="DCE2EC"/>
          <w:insideH w:val="single" w:sz="4" w:space="0" w:color="DCE2EC"/>
          <w:insideV w:val="single" w:sz="4" w:space="0" w:color="DCE2EC"/>
        </w:tblBorders>
        <w:tblCellMar>
          <w:top w:w="40" w:type="dxa"/>
          <w:bottom w:w="40" w:type="dxa"/>
          <w:left w:w="90" w:type="dxa"/>
          <w:right w:w="90" w:type="dxa"/>
        </w:tblCellMar>
      </w:tblPr>
      <w:tblGrid>
        <w:gridCol w:w="1360"/>
        <w:gridCol w:w="2381"/>
        <w:gridCol w:w="5670"/>
      </w:tblGrid>
      <w:tr>
        <w:trPr>
          <w:tblHeader w:val="true"/>
        </w:trPr>
        <w:tc>
          <w:tcPr>
            <w:tcW w:type="dxa" w:w="1361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账号</w:t>
            </w:r>
          </w:p>
        </w:tc>
        <w:tc>
          <w:tcPr>
            <w:tcW w:type="dxa" w:w="2381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角色</w:t>
            </w:r>
          </w:p>
        </w:tc>
        <w:tc>
          <w:tcPr>
            <w:tcW w:type="dxa" w:w="5669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能看到的重点</w:t>
            </w:r>
          </w:p>
        </w:tc>
      </w:tr>
      <w:tr>
        <w:trPr>
          <w:cantSplit w:val="true"/>
        </w:trPr>
        <w:tc>
          <w:tcPr>
            <w:tcW w:type="dxa" w:w="1361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7"/>
              </w:rPr>
              <w:t>boss</w:t>
            </w:r>
          </w:p>
        </w:tc>
        <w:tc>
          <w:tcPr>
            <w:tcW w:type="dxa" w:w="2381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总经理 / 老板</w:t>
            </w:r>
          </w:p>
        </w:tc>
        <w:tc>
          <w:tcPr>
            <w:tcW w:type="dxa" w:w="5669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老板看板、经营分析、全部订单与风险哨兵</w:t>
            </w:r>
          </w:p>
        </w:tc>
      </w:tr>
      <w:tr>
        <w:trPr>
          <w:cantSplit w:val="true"/>
        </w:trPr>
        <w:tc>
          <w:tcPr>
            <w:tcW w:type="dxa" w:w="1361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7"/>
              </w:rPr>
              <w:t>trade01</w:t>
            </w:r>
          </w:p>
        </w:tc>
        <w:tc>
          <w:tcPr>
            <w:tcW w:type="dxa" w:w="2381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外贸业务员</w:t>
            </w:r>
          </w:p>
        </w:tc>
        <w:tc>
          <w:tcPr>
            <w:tcW w:type="dxa" w:w="5669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询盘、报价成本卡、认证、自己的客户与订单</w:t>
            </w:r>
          </w:p>
        </w:tc>
      </w:tr>
      <w:tr>
        <w:trPr>
          <w:cantSplit w:val="true"/>
        </w:trPr>
        <w:tc>
          <w:tcPr>
            <w:tcW w:type="dxa" w:w="1361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7"/>
              </w:rPr>
              <w:t>doc01</w:t>
            </w:r>
          </w:p>
        </w:tc>
        <w:tc>
          <w:tcPr>
            <w:tcW w:type="dxa" w:w="2381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单证员</w:t>
            </w:r>
          </w:p>
        </w:tc>
        <w:tc>
          <w:tcPr>
            <w:tcW w:type="dxa" w:w="5669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8 类单证、25 条校验、报关资料包</w:t>
            </w:r>
          </w:p>
        </w:tc>
      </w:tr>
      <w:tr>
        <w:trPr>
          <w:cantSplit w:val="true"/>
        </w:trPr>
        <w:tc>
          <w:tcPr>
            <w:tcW w:type="dxa" w:w="1361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7"/>
              </w:rPr>
              <w:t>plan01</w:t>
            </w:r>
          </w:p>
        </w:tc>
        <w:tc>
          <w:tcPr>
            <w:tcW w:type="dxa" w:w="2381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计划员</w:t>
            </w:r>
          </w:p>
        </w:tc>
        <w:tc>
          <w:tcPr>
            <w:tcW w:type="dxa" w:w="5669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MRP、齐套、插单模拟、AI 排班</w:t>
            </w:r>
          </w:p>
        </w:tc>
      </w:tr>
      <w:tr>
        <w:trPr>
          <w:cantSplit w:val="true"/>
        </w:trPr>
        <w:tc>
          <w:tcPr>
            <w:tcW w:type="dxa" w:w="1361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7"/>
              </w:rPr>
              <w:t>wh01</w:t>
            </w:r>
          </w:p>
        </w:tc>
        <w:tc>
          <w:tcPr>
            <w:tcW w:type="dxa" w:w="2381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仓管员</w:t>
            </w:r>
          </w:p>
        </w:tc>
        <w:tc>
          <w:tcPr>
            <w:tcW w:type="dxa" w:w="5669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收货上架、拣货装箱、批次与库存流水</w:t>
            </w:r>
          </w:p>
        </w:tc>
      </w:tr>
      <w:tr>
        <w:trPr>
          <w:cantSplit w:val="true"/>
        </w:trPr>
        <w:tc>
          <w:tcPr>
            <w:tcW w:type="dxa" w:w="1361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7"/>
              </w:rPr>
              <w:t>qc01</w:t>
            </w:r>
          </w:p>
        </w:tc>
        <w:tc>
          <w:tcPr>
            <w:tcW w:type="dxa" w:w="2381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质检员</w:t>
            </w:r>
          </w:p>
        </w:tc>
        <w:tc>
          <w:tcPr>
            <w:tcW w:type="dxa" w:w="5669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IQC / FQC、NCR、8D、批次追溯</w:t>
            </w:r>
          </w:p>
        </w:tc>
      </w:tr>
      <w:tr>
        <w:trPr>
          <w:cantSplit w:val="true"/>
        </w:trPr>
        <w:tc>
          <w:tcPr>
            <w:tcW w:type="dxa" w:w="1361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7"/>
              </w:rPr>
              <w:t>fin04</w:t>
            </w:r>
          </w:p>
        </w:tc>
        <w:tc>
          <w:tcPr>
            <w:tcW w:type="dxa" w:w="2381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退税会计</w:t>
            </w:r>
          </w:p>
        </w:tc>
        <w:tc>
          <w:tcPr>
            <w:tcW w:type="dxa" w:w="5669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退税批次、缺件清单、催办</w:t>
            </w:r>
          </w:p>
        </w:tc>
      </w:tr>
      <w:tr>
        <w:trPr>
          <w:cantSplit w:val="true"/>
        </w:trPr>
        <w:tc>
          <w:tcPr>
            <w:tcW w:type="dxa" w:w="1361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7"/>
              </w:rPr>
              <w:t>admin</w:t>
            </w:r>
          </w:p>
        </w:tc>
        <w:tc>
          <w:tcPr>
            <w:tcW w:type="dxa" w:w="2381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系统管理员</w:t>
            </w:r>
          </w:p>
        </w:tc>
        <w:tc>
          <w:tcPr>
            <w:tcW w:type="dxa" w:w="5669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7"/>
              </w:rPr>
              <w:t>用户、角色权限矩阵、审计与备份</w:t>
            </w:r>
          </w:p>
        </w:tc>
      </w:tr>
    </w:tbl>
    <w:p>
      <w:pPr>
        <w:spacing w:before="0" w:after="140" w:line="348" w:lineRule="auto"/>
        <w:jc w:val="both"/>
      </w:pPr>
      <w:r>
        <w:rPr>
          <w:rFonts w:ascii="微软雅黑" w:hAnsi="微软雅黑" w:eastAsia="微软雅黑"/>
          <w:b w:val="0"/>
          <w:i w:val="0"/>
          <w:color w:val="5B6678"/>
          <w:sz w:val="18"/>
        </w:rPr>
        <w:t>演示入口：https://p.zerocod.cn/wai-diandonggongju/web/　统一密码：123456。演示租户 TOOLMAX 为虚构企业，数据可一键重置。</w:t>
      </w:r>
    </w:p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0A1628"/>
          <w:sz w:val="26"/>
        </w:rPr>
        <w:t>10.3 资料与下载</w:t>
      </w:r>
    </w:p>
    <w:tbl>
      <w:tblPr>
        <w:tblW w:type="dxa" w:w="9412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CE2EC"/>
          <w:left w:val="single" w:sz="4" w:space="0" w:color="DCE2EC"/>
          <w:bottom w:val="single" w:sz="4" w:space="0" w:color="DCE2EC"/>
          <w:right w:val="single" w:sz="4" w:space="0" w:color="DCE2EC"/>
          <w:insideH w:val="single" w:sz="4" w:space="0" w:color="DCE2EC"/>
          <w:insideV w:val="single" w:sz="4" w:space="0" w:color="DCE2EC"/>
        </w:tblBorders>
        <w:tblCellMar>
          <w:top w:w="40" w:type="dxa"/>
          <w:bottom w:w="40" w:type="dxa"/>
          <w:left w:w="90" w:type="dxa"/>
          <w:right w:w="90" w:type="dxa"/>
        </w:tblCellMar>
      </w:tblPr>
      <w:tblGrid>
        <w:gridCol w:w="4762"/>
        <w:gridCol w:w="1134"/>
        <w:gridCol w:w="3515"/>
      </w:tblGrid>
      <w:tr>
        <w:trPr>
          <w:tblHeader w:val="true"/>
        </w:trPr>
        <w:tc>
          <w:tcPr>
            <w:tcW w:type="dxa" w:w="4762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资料</w:t>
            </w:r>
          </w:p>
        </w:tc>
        <w:tc>
          <w:tcPr>
            <w:tcW w:type="dxa" w:w="1134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格式</w:t>
            </w:r>
          </w:p>
        </w:tc>
        <w:tc>
          <w:tcPr>
            <w:tcW w:type="dxa" w:w="3515"/>
            <w:shd w:val="clear" w:color="auto" w:fill="0A162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用途</w:t>
            </w:r>
          </w:p>
        </w:tc>
      </w:tr>
      <w:tr>
        <w:trPr>
          <w:cantSplit w:val="true"/>
        </w:trPr>
        <w:tc>
          <w:tcPr>
            <w:tcW w:type="dxa" w:w="4762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算数-电动工具工贸一体化系统-功能清单-V2026.11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XLSX</w:t>
            </w:r>
          </w:p>
        </w:tc>
        <w:tc>
          <w:tcPr>
            <w:tcW w:type="dxa" w:w="3515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208 个入口逐条勾选，选型划范围</w:t>
            </w:r>
          </w:p>
        </w:tc>
      </w:tr>
      <w:tr>
        <w:trPr>
          <w:cantSplit w:val="true"/>
        </w:trPr>
        <w:tc>
          <w:tcPr>
            <w:tcW w:type="dxa" w:w="4762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算数-电动工具工贸一体化系统-功能介绍-V2026.11</w:t>
            </w:r>
          </w:p>
        </w:tc>
        <w:tc>
          <w:tcPr>
            <w:tcW w:type="dxa" w:w="1134"/>
            <w:vAlign w:val="center"/>
            <w:shd w:val="clear" w:color="auto" w:fill="F4F6FA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PPTX</w:t>
            </w:r>
          </w:p>
        </w:tc>
        <w:tc>
          <w:tcPr>
            <w:tcW w:type="dxa" w:w="3515"/>
            <w:vAlign w:val="center"/>
            <w:shd w:val="clear" w:color="auto" w:fill="F4F6FA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汇报与客户拜访，含系统截图</w:t>
            </w:r>
          </w:p>
        </w:tc>
      </w:tr>
      <w:tr>
        <w:trPr>
          <w:cantSplit w:val="true"/>
        </w:trPr>
        <w:tc>
          <w:tcPr>
            <w:tcW w:type="dxa" w:w="4762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/>
                <w:i w:val="0"/>
                <w:color w:val="1B2432"/>
                <w:sz w:val="16"/>
              </w:rPr>
              <w:t>算数-电动工具工贸一体化系统-产品宣传手册-V2026.11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 w:line="312" w:lineRule="auto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DOCX</w:t>
            </w:r>
          </w:p>
        </w:tc>
        <w:tc>
          <w:tcPr>
            <w:tcW w:type="dxa" w:w="3515"/>
            <w:vAlign w:val="center"/>
          </w:tcPr>
          <w:p>
            <w:pPr>
              <w:spacing w:after="0" w:before="0" w:line="312" w:lineRule="auto"/>
              <w:jc w:val="left"/>
            </w:pPr>
            <w:r>
              <w:rPr>
                <w:rFonts w:ascii="微软雅黑" w:hAnsi="微软雅黑" w:eastAsia="微软雅黑"/>
                <w:b w:val="0"/>
                <w:i w:val="0"/>
                <w:color w:val="1B2432"/>
                <w:sz w:val="16"/>
              </w:rPr>
              <w:t>可打印装订，可作合同附件</w:t>
            </w:r>
          </w:p>
        </w:tc>
      </w:tr>
    </w:tbl>
    <w:p>
      <w:pPr>
        <w:spacing w:before="0" w:after="140" w:line="348" w:lineRule="auto"/>
        <w:jc w:val="both"/>
      </w:pPr>
      <w:r>
        <w:rPr>
          <w:rFonts w:ascii="微软雅黑" w:hAnsi="微软雅黑" w:eastAsia="微软雅黑"/>
          <w:b w:val="0"/>
          <w:i w:val="0"/>
          <w:color w:val="5B6678"/>
          <w:sz w:val="18"/>
        </w:rPr>
        <w:t>下载中心：https://p.zerocod.cn/wai-diandonggongju/intro/downloads/　（中文文件名，不用注册，不用留手机号）</w:t>
      </w:r>
    </w:p>
    <w:tbl>
      <w:tblPr>
        <w:tblW w:type="dxa" w:w="9412"/>
        <w:jc w:val="center"/>
        <w:tblLayout w:type="fixed"/>
        <w:tblLook w:firstColumn="1" w:firstRow="1" w:lastColumn="0" w:lastRow="0" w:noHBand="0" w:noVBand="1" w:val="04A0"/>
        <w:tblCellMar>
          <w:top w:w="120" w:type="dxa"/>
          <w:bottom w:w="120" w:type="dxa"/>
          <w:left w:w="160" w:type="dxa"/>
          <w:right w:w="160" w:type="dxa"/>
        </w:tblCellMar>
        <w:tblBorders>
          <w:top w:val="single" w:sz="1" w:space="0" w:color="E8F5EE"/>
          <w:left w:val="single" w:sz="1" w:space="0" w:color="E8F5EE"/>
          <w:bottom w:val="single" w:sz="1" w:space="0" w:color="E8F5EE"/>
          <w:right w:val="single" w:sz="1" w:space="0" w:color="E8F5EE"/>
          <w:insideH w:val="single" w:sz="1" w:space="0" w:color="E8F5EE"/>
          <w:insideV w:val="single" w:sz="1" w:space="0" w:color="E8F5EE"/>
        </w:tblBorders>
      </w:tblPr>
      <w:tblGrid>
        <w:gridCol w:w="9412"/>
      </w:tblGrid>
      <w:tr>
        <w:tc>
          <w:tcPr>
            <w:tcW w:type="dxa" w:w="9411"/>
            <w:shd w:val="clear" w:color="auto" w:fill="E8F5EE"/>
          </w:tcPr>
          <w:p>
            <w:pPr>
              <w:spacing w:after="40"/>
            </w:pPr>
            <w:r>
              <w:rPr>
                <w:rFonts w:ascii="微软雅黑" w:hAnsi="微软雅黑" w:eastAsia="微软雅黑"/>
                <w:b/>
                <w:i w:val="0"/>
                <w:color w:val="1F6B4A"/>
                <w:sz w:val="19"/>
              </w:rPr>
              <w:t>引用与署名</w:t>
            </w:r>
          </w:p>
          <w:p>
            <w:pPr>
              <w:spacing w:after="0" w:line="336" w:lineRule="auto"/>
            </w:pPr>
            <w:r>
              <w:rPr>
                <w:rFonts w:ascii="微软雅黑" w:hAnsi="微软雅黑" w:eastAsia="微软雅黑"/>
                <w:b w:val="0"/>
                <w:i w:val="0"/>
                <w:color w:val="1F6B4A"/>
                <w:sz w:val="18"/>
              </w:rPr>
              <w:t>本资料为算数科技官方版本，功能口径与线上演示环境一致；演示租户 TOOLMAX 为虚构企业，客户、供应商与人员均为演示数据。资料可打印、装订或作为方案附件使用，引用页面与截图时请保留产品全称与算数科技署名。</w:t>
            </w:r>
          </w:p>
        </w:tc>
      </w:tr>
    </w:tbl>
    <w:p>
      <w:pPr>
        <w:spacing w:after="40"/>
      </w:pPr>
    </w:p>
    <w:p>
      <w:pPr>
        <w:spacing w:before="360" w:after="60"/>
      </w:pPr>
      <w:r>
        <w:rPr>
          <w:rFonts w:ascii="微软雅黑" w:hAnsi="微软雅黑" w:eastAsia="微软雅黑"/>
          <w:b/>
          <w:i w:val="0"/>
          <w:color w:val="0A1628"/>
          <w:sz w:val="24"/>
        </w:rPr>
        <w:t>算数科技 · 工贸一体化产品线</w:t>
      </w:r>
    </w:p>
    <w:p>
      <w:pPr>
        <w:spacing w:after="40"/>
      </w:pPr>
      <w:r>
        <w:rPr>
          <w:rFonts w:ascii="微软雅黑" w:hAnsi="微软雅黑" w:eastAsia="微软雅黑"/>
          <w:b w:val="0"/>
          <w:i w:val="0"/>
          <w:color w:val="5B6678"/>
          <w:sz w:val="18"/>
        </w:rPr>
        <w:t>商务咨询：180 1631 3342（微信同号）　·　https://zerocod.cn/　·　https://p.zerocod.cn/wai-diandonggongju/intro/</w:t>
      </w:r>
    </w:p>
    <w:p>
      <w:r>
        <w:rPr>
          <w:rFonts w:ascii="微软雅黑" w:hAnsi="微软雅黑" w:eastAsia="微软雅黑"/>
          <w:b w:val="0"/>
          <w:i w:val="0"/>
          <w:color w:val="5B6678"/>
          <w:sz w:val="17"/>
        </w:rPr>
        <w:t>© 2026 算数科技　·　算数-电动工具工贸一体化系统　·　V2026.11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247" w:bottom="1134" w:left="1247" w:header="680" w:footer="624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微软雅黑" w:hAnsi="微软雅黑" w:eastAsia="微软雅黑"/>
        <w:b w:val="0"/>
        <w:i w:val="0"/>
        <w:color w:val="5B6678"/>
        <w:sz w:val="17"/>
      </w:rPr>
      <w:t xml:space="preserve">第 </w:t>
    </w:r>
    <w:r>
      <w:rPr>
        <w:rFonts w:ascii="微软雅黑" w:hAnsi="微软雅黑" w:eastAsia="微软雅黑"/>
        <w:b w:val="0"/>
        <w:i w:val="0"/>
        <w:color w:val="5B6678"/>
        <w:sz w:val="17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微软雅黑" w:hAnsi="微软雅黑" w:eastAsia="微软雅黑"/>
        <w:b w:val="0"/>
        <w:i w:val="0"/>
        <w:color w:val="5B6678"/>
        <w:sz w:val="17"/>
      </w:rPr>
      <w:t xml:space="preserve"> 页 / 共 </w:t>
    </w:r>
    <w:r>
      <w:rPr>
        <w:rFonts w:ascii="微软雅黑" w:hAnsi="微软雅黑" w:eastAsia="微软雅黑"/>
        <w:b w:val="0"/>
        <w:i w:val="0"/>
        <w:color w:val="5B6678"/>
        <w:sz w:val="17"/>
      </w:rPr>
      <w:fldChar w:fldCharType="begin"/>
      <w:instrText xml:space="preserve"> NUMPAGES </w:instrText>
      <w:fldChar w:fldCharType="separate"/>
      <w:t>18</w:t>
      <w:fldChar w:fldCharType="end"/>
    </w:r>
    <w:r>
      <w:rPr>
        <w:rFonts w:ascii="微软雅黑" w:hAnsi="微软雅黑" w:eastAsia="微软雅黑"/>
        <w:b w:val="0"/>
        <w:i w:val="0"/>
        <w:color w:val="5B6678"/>
        <w:sz w:val="17"/>
      </w:rPr>
      <w:t xml:space="preserve"> 页    ·    算数科技    ·    180 1631 3342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411" w:val="right"/>
      </w:tabs>
      <w:pBdr>
        <w:bottom w:val="single" w:sz="4" w:space="2" w:color="DCE2EC"/>
      </w:pBdr>
    </w:pPr>
    <w:r>
      <w:rPr>
        <w:rFonts w:ascii="微软雅黑" w:hAnsi="微软雅黑" w:eastAsia="微软雅黑"/>
        <w:b w:val="0"/>
        <w:i w:val="0"/>
        <w:color w:val="5B6678"/>
        <w:sz w:val="16"/>
      </w:rPr>
      <w:t>算数-电动工具工贸一体化系统</w:t>
    </w:r>
    <w:r>
      <w:rPr>
        <w:rFonts w:ascii="微软雅黑" w:hAnsi="微软雅黑" w:eastAsia="微软雅黑"/>
        <w:b w:val="0"/>
        <w:i w:val="0"/>
        <w:color w:val="5B6678"/>
        <w:sz w:val="16"/>
      </w:rPr>
      <w:tab/>
      <w:t>V2026.11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