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372" w:lineRule="auto"/>
        <w:jc w:val="left"/>
      </w:pPr>
    </w:p>
    <w:p>
      <w:pPr>
        <w:spacing w:before="0" w:after="0" w:line="372" w:lineRule="auto"/>
        <w:jc w:val="left"/>
      </w:pPr>
    </w:p>
    <w:p>
      <w:pPr>
        <w:spacing w:before="0" w:after="0" w:line="372" w:lineRule="auto"/>
        <w:jc w:val="left"/>
      </w:pPr>
    </w:p>
    <w:p>
      <w:pPr>
        <w:jc w:val="left"/>
      </w:pPr>
      <w:r>
        <w:rPr>
          <w:rFonts w:ascii="微软雅黑" w:hAnsi="微软雅黑" w:eastAsia="微软雅黑"/>
          <w:b/>
          <w:i w:val="0"/>
          <w:color w:val="0ABAB5"/>
          <w:sz w:val="22"/>
        </w:rPr>
        <w:t>产品宣传与选型手册</w:t>
      </w:r>
    </w:p>
    <w:p>
      <w:pPr>
        <w:spacing w:before="160" w:after="80"/>
      </w:pPr>
      <w:r>
        <w:rPr>
          <w:rFonts w:ascii="微软雅黑" w:hAnsi="微软雅黑" w:eastAsia="微软雅黑"/>
          <w:b/>
          <w:i w:val="0"/>
          <w:color w:val="0E6E6A"/>
          <w:sz w:val="68"/>
        </w:rPr>
        <w:t>算数·工程机械租赁</w:t>
      </w:r>
    </w:p>
    <w:p>
      <w:pPr>
        <w:spacing w:after="360"/>
      </w:pPr>
      <w:r>
        <w:rPr>
          <w:rFonts w:ascii="微软雅黑" w:hAnsi="微软雅黑" w:eastAsia="微软雅黑"/>
          <w:b/>
          <w:i w:val="0"/>
          <w:color w:val="102826"/>
          <w:sz w:val="30"/>
        </w:rPr>
        <w:t>设备租赁 + 带人施工</w:t>
        <w:br/>
        <w:t>一台设备从进场算到毛利</w:t>
      </w:r>
    </w:p>
    <w:p>
      <w:pPr>
        <w:spacing w:before="120" w:after="80"/>
        <w:jc w:val="center"/>
      </w:pPr>
      <w:r>
        <w:drawing>
          <wp:inline xmlns:a="http://schemas.openxmlformats.org/drawingml/2006/main" xmlns:pic="http://schemas.openxmlformats.org/drawingml/2006/picture">
            <wp:extent cx="5760000" cy="3601851"/>
            <wp:docPr id="1" name="Picture 1"/>
            <wp:cNvGraphicFramePr>
              <a:graphicFrameLocks noChangeAspect="1"/>
            </wp:cNvGraphicFramePr>
            <a:graphic>
              <a:graphicData uri="http://schemas.openxmlformats.org/drawingml/2006/picture">
                <pic:pic>
                  <pic:nvPicPr>
                    <pic:cNvPr id="0" name="scene-earthwork.png"/>
                    <pic:cNvPicPr/>
                  </pic:nvPicPr>
                  <pic:blipFill>
                    <a:blip r:embed="rId10"/>
                    <a:stretch>
                      <a:fillRect/>
                    </a:stretch>
                  </pic:blipFill>
                  <pic:spPr>
                    <a:xfrm>
                      <a:off x="0" y="0"/>
                      <a:ext cx="5760000" cy="3601851"/>
                    </a:xfrm>
                    <a:prstGeom prst="rect"/>
                  </pic:spPr>
                </pic:pic>
              </a:graphicData>
            </a:graphic>
          </wp:inline>
        </w:drawing>
      </w:r>
    </w:p>
    <w:p>
      <w:pPr>
        <w:spacing w:before="0" w:after="40" w:line="372" w:lineRule="auto"/>
        <w:jc w:val="left"/>
      </w:pPr>
    </w:p>
    <w:p>
      <w:pPr>
        <w:spacing w:before="0" w:after="120" w:line="384" w:lineRule="auto"/>
        <w:jc w:val="left"/>
      </w:pPr>
      <w:r>
        <w:rPr>
          <w:rFonts w:ascii="微软雅黑" w:hAnsi="微软雅黑" w:eastAsia="微软雅黑"/>
          <w:b w:val="0"/>
          <w:i w:val="0"/>
          <w:color w:val="3D5A56"/>
          <w:sz w:val="20"/>
        </w:rPr>
        <w:t>挖掘机、装载机、吊车、泵车、压路机、桩机——从报价签约、调度进场、台班记录、现场签证，到结算开票、催收与单机核算，一套系统打通租赁与带人施工两条业务线。</w:t>
      </w:r>
    </w:p>
    <w:p>
      <w:pPr>
        <w:spacing w:before="0" w:after="0" w:line="372" w:lineRule="auto"/>
        <w:jc w:val="left"/>
      </w:pPr>
    </w:p>
    <w:p>
      <w:pPr>
        <w:spacing w:before="0" w:after="200" w:line="372" w:lineRule="auto"/>
        <w:jc w:val="left"/>
      </w:pPr>
    </w:p>
    <w:p>
      <w:pPr>
        <w:spacing w:before="0" w:after="200" w:line="372" w:lineRule="auto"/>
        <w:jc w:val="left"/>
      </w:pPr>
    </w:p>
    <w:tbl>
      <w:tblPr>
        <w:tblStyle w:val="TableGrid"/>
        <w:tblW w:type="auto" w:w="0"/>
        <w:tblLook w:firstColumn="1" w:firstRow="1" w:lastColumn="0" w:lastRow="0" w:noHBand="0" w:noVBand="1" w:val="04A0"/>
      </w:tblPr>
      <w:tblGrid>
        <w:gridCol w:w="9412"/>
      </w:tblGrid>
      <w:tr>
        <w:tc>
          <w:tcPr>
            <w:tcW w:type="dxa" w:w="9412"/>
            <w:shd w:val="clear" w:color="auto" w:fill="F5F8F7"/>
          </w:tcPr>
          <w:p>
            <w:r/>
            <w:r>
              <w:rPr>
                <w:rFonts w:ascii="微软雅黑" w:hAnsi="微软雅黑" w:eastAsia="微软雅黑"/>
                <w:b w:val="0"/>
                <w:i w:val="0"/>
                <w:color w:val="3D5A56"/>
                <w:sz w:val="19"/>
              </w:rPr>
              <w:t>上海思扬信息科技有限公司</w:t>
              <w:br/>
              <w:t>算数云科技（深圳）有限公司</w:t>
              <w:br/>
              <w:t>商务联系：18016313342（微信同号）　|　2026.10</w:t>
            </w:r>
          </w:p>
        </w:tc>
      </w:tr>
    </w:tbl>
    <w:p>
      <w:r>
        <w:br w:type="page"/>
      </w:r>
    </w:p>
    <w:p>
      <w:pPr>
        <w:spacing w:before="360" w:after="80"/>
        <w:pBdr>
          <w:bottom w:val="single" w:sz="10" w:space="4" w:color="0E6E6A"/>
        </w:pBdr>
      </w:pPr>
      <w:r>
        <w:rPr>
          <w:rFonts w:ascii="微软雅黑" w:hAnsi="微软雅黑" w:eastAsia="微软雅黑"/>
          <w:b/>
          <w:i w:val="0"/>
          <w:color w:val="0E6E6A"/>
          <w:sz w:val="36"/>
        </w:rPr>
        <w:t>目录</w:t>
      </w:r>
    </w:p>
    <w:p>
      <w:pPr>
        <w:spacing w:after="160" w:line="384" w:lineRule="auto"/>
      </w:pPr>
      <w:r>
        <w:rPr>
          <w:rFonts w:ascii="微软雅黑" w:hAnsi="微软雅黑" w:eastAsia="微软雅黑"/>
          <w:b w:val="0"/>
          <w:i w:val="0"/>
          <w:color w:val="102826"/>
          <w:sz w:val="22"/>
        </w:rPr>
        <w:t>一、行业与挑战：钱从哪里漏掉</w:t>
      </w:r>
    </w:p>
    <w:p>
      <w:pPr>
        <w:spacing w:after="160" w:line="384" w:lineRule="auto"/>
      </w:pPr>
      <w:r>
        <w:rPr>
          <w:rFonts w:ascii="微软雅黑" w:hAnsi="微软雅黑" w:eastAsia="微软雅黑"/>
          <w:b w:val="0"/>
          <w:i w:val="0"/>
          <w:color w:val="102826"/>
          <w:sz w:val="22"/>
        </w:rPr>
        <w:t>二、产品概览：一套系统覆盖两条业务线</w:t>
      </w:r>
    </w:p>
    <w:p>
      <w:pPr>
        <w:spacing w:after="160" w:line="384" w:lineRule="auto"/>
      </w:pPr>
      <w:r>
        <w:rPr>
          <w:rFonts w:ascii="微软雅黑" w:hAnsi="微软雅黑" w:eastAsia="微软雅黑"/>
          <w:b w:val="0"/>
          <w:i w:val="0"/>
          <w:color w:val="102826"/>
          <w:sz w:val="22"/>
        </w:rPr>
        <w:t>三、业务主线：六张单据串成闭环</w:t>
      </w:r>
    </w:p>
    <w:p>
      <w:pPr>
        <w:spacing w:after="160" w:line="384" w:lineRule="auto"/>
      </w:pPr>
      <w:r>
        <w:rPr>
          <w:rFonts w:ascii="微软雅黑" w:hAnsi="微软雅黑" w:eastAsia="微软雅黑"/>
          <w:b w:val="0"/>
          <w:i w:val="0"/>
          <w:color w:val="102826"/>
          <w:sz w:val="22"/>
        </w:rPr>
        <w:t>四、三类业务模型：纯租赁 / 带人施工 / 一体化</w:t>
      </w:r>
    </w:p>
    <w:p>
      <w:pPr>
        <w:spacing w:after="160" w:line="384" w:lineRule="auto"/>
      </w:pPr>
      <w:r>
        <w:rPr>
          <w:rFonts w:ascii="微软雅黑" w:hAnsi="微软雅黑" w:eastAsia="微软雅黑"/>
          <w:b w:val="0"/>
          <w:i w:val="0"/>
          <w:color w:val="102826"/>
          <w:sz w:val="22"/>
        </w:rPr>
        <w:t>五、功能全景：12 个分组 · 76 项功能</w:t>
      </w:r>
    </w:p>
    <w:p>
      <w:pPr>
        <w:spacing w:after="160" w:line="384" w:lineRule="auto"/>
      </w:pPr>
      <w:r>
        <w:rPr>
          <w:rFonts w:ascii="微软雅黑" w:hAnsi="微软雅黑" w:eastAsia="微软雅黑"/>
          <w:b w:val="0"/>
          <w:i w:val="0"/>
          <w:color w:val="102826"/>
          <w:sz w:val="22"/>
        </w:rPr>
        <w:t>六、计价方式：10 种口径与结算规则</w:t>
      </w:r>
    </w:p>
    <w:p>
      <w:pPr>
        <w:spacing w:after="160" w:line="384" w:lineRule="auto"/>
      </w:pPr>
      <w:r>
        <w:rPr>
          <w:rFonts w:ascii="微软雅黑" w:hAnsi="微软雅黑" w:eastAsia="微软雅黑"/>
          <w:b w:val="0"/>
          <w:i w:val="0"/>
          <w:color w:val="102826"/>
          <w:sz w:val="22"/>
        </w:rPr>
        <w:t>七、角色与权限：15 个预置角色</w:t>
      </w:r>
    </w:p>
    <w:p>
      <w:pPr>
        <w:spacing w:after="160" w:line="384" w:lineRule="auto"/>
      </w:pPr>
      <w:r>
        <w:rPr>
          <w:rFonts w:ascii="微软雅黑" w:hAnsi="微软雅黑" w:eastAsia="微软雅黑"/>
          <w:b w:val="0"/>
          <w:i w:val="0"/>
          <w:color w:val="102826"/>
          <w:sz w:val="22"/>
        </w:rPr>
        <w:t>八、单机核算：设备到底赚不赚钱</w:t>
      </w:r>
    </w:p>
    <w:p>
      <w:pPr>
        <w:spacing w:after="160" w:line="384" w:lineRule="auto"/>
      </w:pPr>
      <w:r>
        <w:rPr>
          <w:rFonts w:ascii="微软雅黑" w:hAnsi="微软雅黑" w:eastAsia="微软雅黑"/>
          <w:b w:val="0"/>
          <w:i w:val="0"/>
          <w:color w:val="102826"/>
          <w:sz w:val="22"/>
        </w:rPr>
        <w:t>九、移动端与现场：扫码即录</w:t>
      </w:r>
    </w:p>
    <w:p>
      <w:pPr>
        <w:spacing w:after="160" w:line="384" w:lineRule="auto"/>
      </w:pPr>
      <w:r>
        <w:rPr>
          <w:rFonts w:ascii="微软雅黑" w:hAnsi="微软雅黑" w:eastAsia="微软雅黑"/>
          <w:b w:val="0"/>
          <w:i w:val="0"/>
          <w:color w:val="102826"/>
          <w:sz w:val="22"/>
        </w:rPr>
        <w:t>十、部署与实施：两种交付、四步上线</w:t>
      </w:r>
    </w:p>
    <w:p>
      <w:pPr>
        <w:spacing w:after="160" w:line="384" w:lineRule="auto"/>
      </w:pPr>
      <w:r>
        <w:rPr>
          <w:rFonts w:ascii="微软雅黑" w:hAnsi="微软雅黑" w:eastAsia="微软雅黑"/>
          <w:b w:val="0"/>
          <w:i w:val="0"/>
          <w:color w:val="102826"/>
          <w:sz w:val="22"/>
        </w:rPr>
        <w:t>十一、能力边界：已交付与规划中</w:t>
      </w:r>
    </w:p>
    <w:p>
      <w:pPr>
        <w:spacing w:after="160" w:line="384" w:lineRule="auto"/>
      </w:pPr>
      <w:r>
        <w:rPr>
          <w:rFonts w:ascii="微软雅黑" w:hAnsi="微软雅黑" w:eastAsia="微软雅黑"/>
          <w:b w:val="0"/>
          <w:i w:val="0"/>
          <w:color w:val="102826"/>
          <w:sz w:val="22"/>
        </w:rPr>
        <w:t>十二、常见问题</w:t>
      </w:r>
    </w:p>
    <w:p>
      <w:pPr>
        <w:spacing w:after="160" w:line="384" w:lineRule="auto"/>
      </w:pPr>
      <w:r>
        <w:rPr>
          <w:rFonts w:ascii="微软雅黑" w:hAnsi="微软雅黑" w:eastAsia="微软雅黑"/>
          <w:b w:val="0"/>
          <w:i w:val="0"/>
          <w:color w:val="102826"/>
          <w:sz w:val="22"/>
        </w:rPr>
        <w:t>十三、联系我们</w:t>
      </w:r>
    </w:p>
    <w:p>
      <w:pPr>
        <w:spacing w:before="0" w:after="320" w:line="372" w:lineRule="auto"/>
        <w:jc w:val="left"/>
      </w:pPr>
    </w:p>
    <w:tbl>
      <w:tblPr>
        <w:tblStyle w:val="TableGrid"/>
        <w:tblW w:type="auto" w:w="0"/>
        <w:tblLook w:firstColumn="1" w:firstRow="1" w:lastColumn="0" w:lastRow="0" w:noHBand="0" w:noVBand="1" w:val="04A0"/>
      </w:tblPr>
      <w:tblGrid>
        <w:gridCol w:w="9412"/>
      </w:tblGrid>
      <w:tr>
        <w:tc>
          <w:tcPr>
            <w:tcW w:type="dxa" w:w="9412"/>
            <w:shd w:val="clear" w:color="auto" w:fill="FFF8F3"/>
          </w:tcPr>
          <w:p>
            <w:pPr>
              <w:spacing w:before="120" w:after="120" w:line="360" w:lineRule="auto"/>
            </w:pPr>
            <w:r/>
            <w:r>
              <w:rPr>
                <w:rFonts w:ascii="微软雅黑" w:hAnsi="微软雅黑" w:eastAsia="微软雅黑"/>
                <w:b w:val="0"/>
                <w:i w:val="0"/>
                <w:color w:val="C45C2A"/>
                <w:sz w:val="21"/>
              </w:rPr>
              <w:t>说明：本手册中的经营数据为演示环境示意数据，用于说明指标口径与系统能力，不代表任何真实客户的经营结果。</w:t>
            </w:r>
          </w:p>
        </w:tc>
      </w:tr>
    </w:tbl>
    <w:p>
      <w:r>
        <w:br w:type="page"/>
      </w:r>
    </w:p>
    <w:p>
      <w:pPr>
        <w:spacing w:before="360" w:after="80"/>
        <w:pBdr>
          <w:bottom w:val="single" w:sz="10" w:space="4" w:color="0E6E6A"/>
        </w:pBdr>
      </w:pPr>
      <w:r>
        <w:rPr>
          <w:rFonts w:ascii="微软雅黑" w:hAnsi="微软雅黑" w:eastAsia="微软雅黑"/>
          <w:b/>
          <w:i w:val="0"/>
          <w:color w:val="0E6E6A"/>
          <w:sz w:val="36"/>
        </w:rPr>
        <w:t>一  行业与挑战：钱从哪里漏掉</w:t>
      </w:r>
    </w:p>
    <w:p>
      <w:pPr>
        <w:spacing w:before="0" w:after="120" w:line="372" w:lineRule="auto"/>
        <w:jc w:val="left"/>
      </w:pPr>
      <w:r>
        <w:rPr>
          <w:rFonts w:ascii="微软雅黑" w:hAnsi="微软雅黑" w:eastAsia="微软雅黑"/>
          <w:b w:val="0"/>
          <w:i w:val="0"/>
          <w:color w:val="102826"/>
          <w:sz w:val="21"/>
        </w:rPr>
        <w:t>工程机械租赁是一个“重资产、轻管理”特征明显的行业。设备在工地上跑，账在 Excel 里，毛利在老板脑子里。规模一旦上来，管理半径就跟不上，利润被一点一点漏掉。</w:t>
      </w:r>
    </w:p>
    <w:p>
      <w:pPr>
        <w:spacing w:before="240" w:after="60"/>
      </w:pPr>
      <w:r>
        <w:rPr>
          <w:rFonts w:ascii="微软雅黑" w:hAnsi="微软雅黑" w:eastAsia="微软雅黑"/>
          <w:b/>
          <w:i w:val="0"/>
          <w:color w:val="102826"/>
          <w:sz w:val="25"/>
        </w:rPr>
        <w:t>1.1 五个典型漏点</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i w:val="0"/>
          <w:color w:val="102826"/>
          <w:sz w:val="21"/>
        </w:rPr>
        <w:t xml:space="preserve">台账靠本子　</w:t>
      </w:r>
      <w:r>
        <w:rPr>
          <w:rFonts w:ascii="微软雅黑" w:hAnsi="微软雅黑" w:eastAsia="微软雅黑"/>
          <w:b w:val="0"/>
          <w:i w:val="0"/>
          <w:color w:val="3D5A56"/>
          <w:sz w:val="21"/>
        </w:rPr>
        <w:t>一台设备在哪、谁在开、油加了多少，电话问一圈才知道。设备越多，越说不清。</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i w:val="0"/>
          <w:color w:val="102826"/>
          <w:sz w:val="21"/>
        </w:rPr>
        <w:t xml:space="preserve">台班靠微信　</w:t>
      </w:r>
      <w:r>
        <w:rPr>
          <w:rFonts w:ascii="微软雅黑" w:hAnsi="微软雅黑" w:eastAsia="微软雅黑"/>
          <w:b w:val="0"/>
          <w:i w:val="0"/>
          <w:color w:val="3D5A56"/>
          <w:sz w:val="21"/>
        </w:rPr>
        <w:t>手写台班单拍照发群，月底对不上；客户一句“没签过”，只能按低口径结算。</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i w:val="0"/>
          <w:color w:val="102826"/>
          <w:sz w:val="21"/>
        </w:rPr>
        <w:t xml:space="preserve">结算靠回忆　</w:t>
      </w:r>
      <w:r>
        <w:rPr>
          <w:rFonts w:ascii="微软雅黑" w:hAnsi="微软雅黑" w:eastAsia="微软雅黑"/>
          <w:b w:val="0"/>
          <w:i w:val="0"/>
          <w:color w:val="3D5A56"/>
          <w:sz w:val="21"/>
        </w:rPr>
        <w:t>签证、窝工、超时没人记，结算时拿不出凭据，能收的钱收不回来。</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i w:val="0"/>
          <w:color w:val="102826"/>
          <w:sz w:val="21"/>
        </w:rPr>
        <w:t xml:space="preserve">成本算不清　</w:t>
      </w:r>
      <w:r>
        <w:rPr>
          <w:rFonts w:ascii="微软雅黑" w:hAnsi="微软雅黑" w:eastAsia="微软雅黑"/>
          <w:b w:val="0"/>
          <w:i w:val="0"/>
          <w:color w:val="3D5A56"/>
          <w:sz w:val="21"/>
        </w:rPr>
        <w:t>油料、维修、人工散在各处，单机到底赚不赚钱，没人说得准。</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i w:val="0"/>
          <w:color w:val="102826"/>
          <w:sz w:val="21"/>
        </w:rPr>
        <w:t xml:space="preserve">回款靠催　</w:t>
      </w:r>
      <w:r>
        <w:rPr>
          <w:rFonts w:ascii="微软雅黑" w:hAnsi="微软雅黑" w:eastAsia="微软雅黑"/>
          <w:b w:val="0"/>
          <w:i w:val="0"/>
          <w:color w:val="3D5A56"/>
          <w:sz w:val="21"/>
        </w:rPr>
        <w:t>账龄越拖越长，谁在跟、承诺哪天付，只存在业务员手机里。</w:t>
      </w:r>
    </w:p>
    <w:p>
      <w:pPr>
        <w:spacing w:before="240" w:after="60"/>
      </w:pPr>
      <w:r>
        <w:rPr>
          <w:rFonts w:ascii="微软雅黑" w:hAnsi="微软雅黑" w:eastAsia="微软雅黑"/>
          <w:b/>
          <w:i w:val="0"/>
          <w:color w:val="102826"/>
          <w:sz w:val="25"/>
        </w:rPr>
        <w:t>1.2 后果</w:t>
      </w:r>
    </w:p>
    <w:p>
      <w:pPr>
        <w:spacing w:before="0" w:after="120" w:line="372" w:lineRule="auto"/>
        <w:jc w:val="left"/>
      </w:pPr>
      <w:r>
        <w:rPr>
          <w:rFonts w:ascii="微软雅黑" w:hAnsi="微软雅黑" w:eastAsia="微软雅黑"/>
          <w:b w:val="0"/>
          <w:i w:val="0"/>
          <w:color w:val="102826"/>
          <w:sz w:val="21"/>
        </w:rPr>
        <w:t>设备越多越忙，利润越薄；想扩张，先被账拖住。很多公司不是没有业务，而是业务做完了，钱没算清、没收回来。</w:t>
      </w:r>
    </w:p>
    <w:p>
      <w:pPr>
        <w:spacing w:before="240" w:after="60"/>
      </w:pPr>
      <w:r>
        <w:rPr>
          <w:rFonts w:ascii="微软雅黑" w:hAnsi="微软雅黑" w:eastAsia="微软雅黑"/>
          <w:b/>
          <w:i w:val="0"/>
          <w:color w:val="102826"/>
          <w:sz w:val="25"/>
        </w:rPr>
        <w:t>1.3 系统要解决的三件事</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单据可追溯：每一笔钱都能点回形成它的原始单据。</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口径可统一：同一套合同与计价规则，商务、调度、财务说的是同一件事。</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经营可核算：单机、项目、客户三个维度都能算毛利。</w:t>
      </w:r>
    </w:p>
    <w:p>
      <w:r>
        <w:br w:type="page"/>
      </w:r>
    </w:p>
    <w:p>
      <w:pPr>
        <w:spacing w:before="360" w:after="80"/>
        <w:pBdr>
          <w:bottom w:val="single" w:sz="10" w:space="4" w:color="0E6E6A"/>
        </w:pBdr>
      </w:pPr>
      <w:r>
        <w:rPr>
          <w:rFonts w:ascii="微软雅黑" w:hAnsi="微软雅黑" w:eastAsia="微软雅黑"/>
          <w:b/>
          <w:i w:val="0"/>
          <w:color w:val="0E6E6A"/>
          <w:sz w:val="36"/>
        </w:rPr>
        <w:t>二  产品概览：一套系统覆盖两条业务线</w:t>
      </w:r>
    </w:p>
    <w:p>
      <w:pPr>
        <w:spacing w:before="0" w:after="120" w:line="372" w:lineRule="auto"/>
        <w:jc w:val="left"/>
      </w:pPr>
      <w:r>
        <w:rPr>
          <w:rFonts w:ascii="微软雅黑" w:hAnsi="微软雅黑" w:eastAsia="微软雅黑"/>
          <w:b w:val="0"/>
          <w:i w:val="0"/>
          <w:color w:val="102826"/>
          <w:sz w:val="21"/>
        </w:rPr>
        <w:t>算数·工程机械租赁数字化管理系统（简称“算数·工程机械租赁”）面向工程机械租赁与带人施工企业，围绕设备全生命周期，把商务、调度、施工、结算、财务、成本串成闭环。</w:t>
      </w:r>
    </w:p>
    <w:p>
      <w:pPr>
        <w:spacing w:before="240" w:after="60"/>
      </w:pPr>
      <w:r>
        <w:rPr>
          <w:rFonts w:ascii="微软雅黑" w:hAnsi="微软雅黑" w:eastAsia="微软雅黑"/>
          <w:b/>
          <w:i w:val="0"/>
          <w:color w:val="102826"/>
          <w:sz w:val="25"/>
        </w:rPr>
        <w:t>2.1 产品定位</w:t>
      </w:r>
    </w:p>
    <w:p>
      <w:pPr>
        <w:spacing w:before="0" w:after="120" w:line="372" w:lineRule="auto"/>
        <w:jc w:val="left"/>
      </w:pPr>
      <w:r>
        <w:rPr>
          <w:rFonts w:ascii="微软雅黑" w:hAnsi="微软雅黑" w:eastAsia="微软雅黑"/>
          <w:b w:val="0"/>
          <w:i w:val="0"/>
          <w:color w:val="102826"/>
          <w:sz w:val="21"/>
        </w:rPr>
        <w:t>不是简单的设备台账，而是“从进场到毛利”的经营系统。既不追求覆盖所有行业，也不堆砌用不上的功能——只把租赁公司每天真正会做的事做扎实。</w:t>
      </w:r>
    </w:p>
    <w:p>
      <w:pPr>
        <w:spacing w:before="240" w:after="60"/>
      </w:pPr>
      <w:r>
        <w:rPr>
          <w:rFonts w:ascii="微软雅黑" w:hAnsi="微软雅黑" w:eastAsia="微软雅黑"/>
          <w:b/>
          <w:i w:val="0"/>
          <w:color w:val="102826"/>
          <w:sz w:val="25"/>
        </w:rPr>
        <w:t>2.2 八块核心能力</w:t>
      </w:r>
    </w:p>
    <w:tbl>
      <w:tblPr>
        <w:tblStyle w:val="TableGrid"/>
        <w:tblW w:type="auto" w:w="0"/>
        <w:jc w:val="center"/>
        <w:tblLayout w:type="autofit"/>
        <w:tblLook w:firstColumn="1" w:firstRow="1" w:lastColumn="0" w:lastRow="0" w:noHBand="0" w:noVBand="1" w:val="04A0"/>
      </w:tblPr>
      <w:tblGrid>
        <w:gridCol w:w="4706"/>
        <w:gridCol w:w="4706"/>
      </w:tblGrid>
      <w:tr>
        <w:tc>
          <w:tcPr>
            <w:tcW w:type="dxa" w:w="2835"/>
            <w:shd w:val="clear" w:color="auto" w:fill="0E6E6A"/>
          </w:tcPr>
          <w:p>
            <w:pPr>
              <w:spacing w:after="40" w:before="40"/>
              <w:jc w:val="center"/>
            </w:pPr>
            <w:r/>
            <w:r>
              <w:rPr>
                <w:rFonts w:ascii="微软雅黑" w:hAnsi="微软雅黑" w:eastAsia="微软雅黑"/>
                <w:b/>
                <w:i w:val="0"/>
                <w:color w:val="FFFFFF"/>
                <w:sz w:val="18"/>
              </w:rPr>
              <w:t>能力块</w:t>
            </w:r>
          </w:p>
        </w:tc>
        <w:tc>
          <w:tcPr>
            <w:tcW w:type="dxa" w:w="6463"/>
            <w:shd w:val="clear" w:color="auto" w:fill="0E6E6A"/>
          </w:tcPr>
          <w:p>
            <w:pPr>
              <w:spacing w:after="40" w:before="40"/>
              <w:jc w:val="center"/>
            </w:pPr>
            <w:r/>
            <w:r>
              <w:rPr>
                <w:rFonts w:ascii="微软雅黑" w:hAnsi="微软雅黑" w:eastAsia="微软雅黑"/>
                <w:b/>
                <w:i w:val="0"/>
                <w:color w:val="FFFFFF"/>
                <w:sz w:val="18"/>
              </w:rPr>
              <w:t>覆盖内容</w:t>
            </w:r>
          </w:p>
        </w:tc>
      </w:tr>
      <w:tr>
        <w:tc>
          <w:tcPr>
            <w:tcW w:type="dxa" w:w="2835"/>
          </w:tcPr>
          <w:p>
            <w:pPr>
              <w:spacing w:after="40" w:before="40" w:line="300" w:lineRule="auto"/>
            </w:pPr>
            <w:r/>
            <w:r>
              <w:rPr>
                <w:rFonts w:ascii="微软雅黑" w:hAnsi="微软雅黑" w:eastAsia="微软雅黑"/>
                <w:b w:val="0"/>
                <w:i w:val="0"/>
                <w:color w:val="102826"/>
                <w:sz w:val="17"/>
              </w:rPr>
              <w:t>资产 · 一机一档</w:t>
            </w:r>
          </w:p>
        </w:tc>
        <w:tc>
          <w:tcPr>
            <w:tcW w:type="dxa" w:w="6463"/>
          </w:tcPr>
          <w:p>
            <w:pPr>
              <w:spacing w:after="40" w:before="40" w:line="300" w:lineRule="auto"/>
            </w:pPr>
            <w:r/>
            <w:r>
              <w:rPr>
                <w:rFonts w:ascii="微软雅黑" w:hAnsi="微软雅黑" w:eastAsia="微软雅黑"/>
                <w:b w:val="0"/>
                <w:i w:val="0"/>
                <w:color w:val="102826"/>
                <w:sz w:val="17"/>
              </w:rPr>
              <w:t>设备编号、产权方式、融资还款、证照保险、GPS、维保履历集中在一张设备卡。</w:t>
            </w:r>
          </w:p>
        </w:tc>
      </w:tr>
      <w:tr>
        <w:tc>
          <w:tcPr>
            <w:tcW w:type="dxa" w:w="2835"/>
            <w:shd w:val="clear" w:color="auto" w:fill="F2F9F8"/>
          </w:tcPr>
          <w:p>
            <w:pPr>
              <w:spacing w:after="40" w:before="40" w:line="300" w:lineRule="auto"/>
            </w:pPr>
            <w:r/>
            <w:r>
              <w:rPr>
                <w:rFonts w:ascii="微软雅黑" w:hAnsi="微软雅黑" w:eastAsia="微软雅黑"/>
                <w:b w:val="0"/>
                <w:i w:val="0"/>
                <w:color w:val="102826"/>
                <w:sz w:val="17"/>
              </w:rPr>
              <w:t>商务 · 合同与计价</w:t>
            </w:r>
          </w:p>
        </w:tc>
        <w:tc>
          <w:tcPr>
            <w:tcW w:type="dxa" w:w="6463"/>
            <w:shd w:val="clear" w:color="auto" w:fill="F2F9F8"/>
          </w:tcPr>
          <w:p>
            <w:pPr>
              <w:spacing w:after="40" w:before="40" w:line="300" w:lineRule="auto"/>
            </w:pPr>
            <w:r/>
            <w:r>
              <w:rPr>
                <w:rFonts w:ascii="微软雅黑" w:hAnsi="微软雅黑" w:eastAsia="微软雅黑"/>
                <w:b w:val="0"/>
                <w:i w:val="0"/>
                <w:color w:val="102826"/>
                <w:sz w:val="17"/>
              </w:rPr>
              <w:t>纯租赁 / 带人施工 / 一体化三类合同，支持台班、包月、立方、吨次等 10 种计价方式。</w:t>
            </w:r>
          </w:p>
        </w:tc>
      </w:tr>
      <w:tr>
        <w:tc>
          <w:tcPr>
            <w:tcW w:type="dxa" w:w="2835"/>
          </w:tcPr>
          <w:p>
            <w:pPr>
              <w:spacing w:after="40" w:before="40" w:line="300" w:lineRule="auto"/>
            </w:pPr>
            <w:r/>
            <w:r>
              <w:rPr>
                <w:rFonts w:ascii="微软雅黑" w:hAnsi="微软雅黑" w:eastAsia="微软雅黑"/>
                <w:b w:val="0"/>
                <w:i w:val="0"/>
                <w:color w:val="102826"/>
                <w:sz w:val="17"/>
              </w:rPr>
              <w:t>调度 · 进场转场退场</w:t>
            </w:r>
          </w:p>
        </w:tc>
        <w:tc>
          <w:tcPr>
            <w:tcW w:type="dxa" w:w="6463"/>
          </w:tcPr>
          <w:p>
            <w:pPr>
              <w:spacing w:after="40" w:before="40" w:line="300" w:lineRule="auto"/>
            </w:pPr>
            <w:r/>
            <w:r>
              <w:rPr>
                <w:rFonts w:ascii="微软雅黑" w:hAnsi="微软雅黑" w:eastAsia="微软雅黑"/>
                <w:b w:val="0"/>
                <w:i w:val="0"/>
                <w:color w:val="102826"/>
                <w:sz w:val="17"/>
              </w:rPr>
              <w:t>按项目排设备，调度单联动运输费、平板车与交接单，转场成本可分摊到项目。</w:t>
            </w:r>
          </w:p>
        </w:tc>
      </w:tr>
      <w:tr>
        <w:tc>
          <w:tcPr>
            <w:tcW w:type="dxa" w:w="2835"/>
            <w:shd w:val="clear" w:color="auto" w:fill="F2F9F8"/>
          </w:tcPr>
          <w:p>
            <w:pPr>
              <w:spacing w:after="40" w:before="40" w:line="300" w:lineRule="auto"/>
            </w:pPr>
            <w:r/>
            <w:r>
              <w:rPr>
                <w:rFonts w:ascii="微软雅黑" w:hAnsi="微软雅黑" w:eastAsia="微软雅黑"/>
                <w:b w:val="0"/>
                <w:i w:val="0"/>
                <w:color w:val="102826"/>
                <w:sz w:val="17"/>
              </w:rPr>
              <w:t>施工 · 台班与工单</w:t>
            </w:r>
          </w:p>
        </w:tc>
        <w:tc>
          <w:tcPr>
            <w:tcW w:type="dxa" w:w="6463"/>
            <w:shd w:val="clear" w:color="auto" w:fill="F2F9F8"/>
          </w:tcPr>
          <w:p>
            <w:pPr>
              <w:spacing w:after="40" w:before="40" w:line="300" w:lineRule="auto"/>
            </w:pPr>
            <w:r/>
            <w:r>
              <w:rPr>
                <w:rFonts w:ascii="微软雅黑" w:hAnsi="微软雅黑" w:eastAsia="微软雅黑"/>
                <w:b w:val="0"/>
                <w:i w:val="0"/>
                <w:color w:val="102826"/>
                <w:sz w:val="17"/>
              </w:rPr>
              <w:t>台时、超时、油量、工程量与客户签字现场留痕；带人施工按工序开单并管作业许可。</w:t>
            </w:r>
          </w:p>
        </w:tc>
      </w:tr>
      <w:tr>
        <w:tc>
          <w:tcPr>
            <w:tcW w:type="dxa" w:w="2835"/>
          </w:tcPr>
          <w:p>
            <w:pPr>
              <w:spacing w:after="40" w:before="40" w:line="300" w:lineRule="auto"/>
            </w:pPr>
            <w:r/>
            <w:r>
              <w:rPr>
                <w:rFonts w:ascii="微软雅黑" w:hAnsi="微软雅黑" w:eastAsia="微软雅黑"/>
                <w:b w:val="0"/>
                <w:i w:val="0"/>
                <w:color w:val="102826"/>
                <w:sz w:val="17"/>
              </w:rPr>
              <w:t>结算 · 结算与签证</w:t>
            </w:r>
          </w:p>
        </w:tc>
        <w:tc>
          <w:tcPr>
            <w:tcW w:type="dxa" w:w="6463"/>
          </w:tcPr>
          <w:p>
            <w:pPr>
              <w:spacing w:after="40" w:before="40" w:line="300" w:lineRule="auto"/>
            </w:pPr>
            <w:r/>
            <w:r>
              <w:rPr>
                <w:rFonts w:ascii="微软雅黑" w:hAnsi="微软雅黑" w:eastAsia="微软雅黑"/>
                <w:b w:val="0"/>
                <w:i w:val="0"/>
                <w:color w:val="102826"/>
                <w:sz w:val="17"/>
              </w:rPr>
              <w:t>台班、工单、签证按账期汇总，扣款与保证金逐笔登记，生成应收账单。</w:t>
            </w:r>
          </w:p>
        </w:tc>
      </w:tr>
      <w:tr>
        <w:tc>
          <w:tcPr>
            <w:tcW w:type="dxa" w:w="2835"/>
            <w:shd w:val="clear" w:color="auto" w:fill="F2F9F8"/>
          </w:tcPr>
          <w:p>
            <w:pPr>
              <w:spacing w:after="40" w:before="40" w:line="300" w:lineRule="auto"/>
            </w:pPr>
            <w:r/>
            <w:r>
              <w:rPr>
                <w:rFonts w:ascii="微软雅黑" w:hAnsi="微软雅黑" w:eastAsia="微软雅黑"/>
                <w:b w:val="0"/>
                <w:i w:val="0"/>
                <w:color w:val="102826"/>
                <w:sz w:val="17"/>
              </w:rPr>
              <w:t>财务 · 开票与催收</w:t>
            </w:r>
          </w:p>
        </w:tc>
        <w:tc>
          <w:tcPr>
            <w:tcW w:type="dxa" w:w="6463"/>
            <w:shd w:val="clear" w:color="auto" w:fill="F2F9F8"/>
          </w:tcPr>
          <w:p>
            <w:pPr>
              <w:spacing w:after="40" w:before="40" w:line="300" w:lineRule="auto"/>
            </w:pPr>
            <w:r/>
            <w:r>
              <w:rPr>
                <w:rFonts w:ascii="微软雅黑" w:hAnsi="微软雅黑" w:eastAsia="微软雅黑"/>
                <w:b w:val="0"/>
                <w:i w:val="0"/>
                <w:color w:val="102826"/>
                <w:sz w:val="17"/>
              </w:rPr>
              <w:t>设备租赁 13%、建筑服务 9% 分口径开票，收款核销、账龄催收、合同到期预警。</w:t>
            </w:r>
          </w:p>
        </w:tc>
      </w:tr>
      <w:tr>
        <w:tc>
          <w:tcPr>
            <w:tcW w:type="dxa" w:w="2835"/>
          </w:tcPr>
          <w:p>
            <w:pPr>
              <w:spacing w:after="40" w:before="40" w:line="300" w:lineRule="auto"/>
            </w:pPr>
            <w:r/>
            <w:r>
              <w:rPr>
                <w:rFonts w:ascii="微软雅黑" w:hAnsi="微软雅黑" w:eastAsia="微软雅黑"/>
                <w:b w:val="0"/>
                <w:i w:val="0"/>
                <w:color w:val="102826"/>
                <w:sz w:val="17"/>
              </w:rPr>
              <w:t>成本 · 单机与项目核算</w:t>
            </w:r>
          </w:p>
        </w:tc>
        <w:tc>
          <w:tcPr>
            <w:tcW w:type="dxa" w:w="6463"/>
          </w:tcPr>
          <w:p>
            <w:pPr>
              <w:spacing w:after="40" w:before="40" w:line="300" w:lineRule="auto"/>
            </w:pPr>
            <w:r/>
            <w:r>
              <w:rPr>
                <w:rFonts w:ascii="微软雅黑" w:hAnsi="微软雅黑" w:eastAsia="微软雅黑"/>
                <w:b w:val="0"/>
                <w:i w:val="0"/>
                <w:color w:val="102826"/>
                <w:sz w:val="17"/>
              </w:rPr>
              <w:t>油料、维修、人工、折旧归集到单机与项目，直接看毛利率、年化回报与回收期。</w:t>
            </w:r>
          </w:p>
        </w:tc>
      </w:tr>
      <w:tr>
        <w:tc>
          <w:tcPr>
            <w:tcW w:type="dxa" w:w="2835"/>
            <w:shd w:val="clear" w:color="auto" w:fill="F2F9F8"/>
          </w:tcPr>
          <w:p>
            <w:pPr>
              <w:spacing w:after="40" w:before="40" w:line="300" w:lineRule="auto"/>
            </w:pPr>
            <w:r/>
            <w:r>
              <w:rPr>
                <w:rFonts w:ascii="微软雅黑" w:hAnsi="微软雅黑" w:eastAsia="微软雅黑"/>
                <w:b w:val="0"/>
                <w:i w:val="0"/>
                <w:color w:val="102826"/>
                <w:sz w:val="17"/>
              </w:rPr>
              <w:t>风控 · 人员与安全</w:t>
            </w:r>
          </w:p>
        </w:tc>
        <w:tc>
          <w:tcPr>
            <w:tcW w:type="dxa" w:w="6463"/>
            <w:shd w:val="clear" w:color="auto" w:fill="F2F9F8"/>
          </w:tcPr>
          <w:p>
            <w:pPr>
              <w:spacing w:after="40" w:before="40" w:line="300" w:lineRule="auto"/>
            </w:pPr>
            <w:r/>
            <w:r>
              <w:rPr>
                <w:rFonts w:ascii="微软雅黑" w:hAnsi="微软雅黑" w:eastAsia="微软雅黑"/>
                <w:b w:val="0"/>
                <w:i w:val="0"/>
                <w:color w:val="102826"/>
                <w:sz w:val="17"/>
              </w:rPr>
              <w:t>机手档案、操作证到期、安全培训、违章罚款、保险理赔与事故责任全留痕。</w:t>
            </w:r>
          </w:p>
        </w:tc>
      </w:tr>
    </w:tbl>
    <w:p>
      <w:pPr>
        <w:spacing w:before="0" w:after="120" w:line="372" w:lineRule="auto"/>
        <w:jc w:val="left"/>
      </w:pPr>
    </w:p>
    <w:p>
      <w:pPr>
        <w:spacing w:before="120" w:after="80"/>
        <w:jc w:val="center"/>
      </w:pPr>
      <w:r>
        <w:drawing>
          <wp:inline xmlns:a="http://schemas.openxmlformats.org/drawingml/2006/main" xmlns:pic="http://schemas.openxmlformats.org/drawingml/2006/picture">
            <wp:extent cx="5616000" cy="3511805"/>
            <wp:docPr id="2" name="Picture 2"/>
            <wp:cNvGraphicFramePr>
              <a:graphicFrameLocks noChangeAspect="1"/>
            </wp:cNvGraphicFramePr>
            <a:graphic>
              <a:graphicData uri="http://schemas.openxmlformats.org/drawingml/2006/picture">
                <pic:pic>
                  <pic:nvPicPr>
                    <pic:cNvPr id="0" name="scene-office.png"/>
                    <pic:cNvPicPr/>
                  </pic:nvPicPr>
                  <pic:blipFill>
                    <a:blip r:embed="rId11"/>
                    <a:stretch>
                      <a:fillRect/>
                    </a:stretch>
                  </pic:blipFill>
                  <pic:spPr>
                    <a:xfrm>
                      <a:off x="0" y="0"/>
                      <a:ext cx="5616000" cy="3511805"/>
                    </a:xfrm>
                    <a:prstGeom prst="rect"/>
                  </pic:spPr>
                </pic:pic>
              </a:graphicData>
            </a:graphic>
          </wp:inline>
        </w:drawing>
      </w:r>
    </w:p>
    <w:p>
      <w:pPr>
        <w:spacing w:before="0" w:after="120" w:line="372" w:lineRule="auto"/>
        <w:jc w:val="center"/>
      </w:pPr>
      <w:r>
        <w:rPr>
          <w:rFonts w:ascii="微软雅黑" w:hAnsi="微软雅黑" w:eastAsia="微软雅黑"/>
          <w:b w:val="0"/>
          <w:i/>
          <w:color w:val="6B7C78"/>
          <w:sz w:val="17"/>
        </w:rPr>
        <w:t>项目部调度场景：调度单、交接单与现场看板来自同一套数据。</w:t>
      </w:r>
    </w:p>
    <w:p>
      <w:r>
        <w:br w:type="page"/>
      </w:r>
    </w:p>
    <w:p>
      <w:pPr>
        <w:spacing w:before="360" w:after="80"/>
        <w:pBdr>
          <w:bottom w:val="single" w:sz="10" w:space="4" w:color="0E6E6A"/>
        </w:pBdr>
      </w:pPr>
      <w:r>
        <w:rPr>
          <w:rFonts w:ascii="微软雅黑" w:hAnsi="微软雅黑" w:eastAsia="微软雅黑"/>
          <w:b/>
          <w:i w:val="0"/>
          <w:color w:val="0E6E6A"/>
          <w:sz w:val="36"/>
        </w:rPr>
        <w:t>三  业务主线：六张单据串成闭环</w:t>
      </w:r>
    </w:p>
    <w:p>
      <w:pPr>
        <w:spacing w:before="0" w:after="120" w:line="372" w:lineRule="auto"/>
        <w:jc w:val="left"/>
      </w:pPr>
      <w:r>
        <w:rPr>
          <w:rFonts w:ascii="微软雅黑" w:hAnsi="微软雅黑" w:eastAsia="微软雅黑"/>
          <w:b w:val="0"/>
          <w:i w:val="0"/>
          <w:color w:val="102826"/>
          <w:sz w:val="21"/>
        </w:rPr>
        <w:t>系统的主干是一条单据链。每一个数字都能点回源单据，每一个单据都带着上下游关系。</w:t>
      </w:r>
    </w:p>
    <w:p>
      <w:pPr>
        <w:spacing w:before="240" w:after="60"/>
      </w:pPr>
      <w:r>
        <w:rPr>
          <w:rFonts w:ascii="微软雅黑" w:hAnsi="微软雅黑" w:eastAsia="微软雅黑"/>
          <w:b/>
          <w:i w:val="0"/>
          <w:color w:val="102826"/>
          <w:sz w:val="25"/>
        </w:rPr>
        <w:t>3.1 六步主线</w:t>
      </w:r>
    </w:p>
    <w:tbl>
      <w:tblPr>
        <w:tblStyle w:val="TableGrid"/>
        <w:tblW w:type="auto" w:w="0"/>
        <w:jc w:val="center"/>
        <w:tblLayout w:type="autofit"/>
        <w:tblLook w:firstColumn="1" w:firstRow="1" w:lastColumn="0" w:lastRow="0" w:noHBand="0" w:noVBand="1" w:val="04A0"/>
      </w:tblPr>
      <w:tblGrid>
        <w:gridCol w:w="4706"/>
        <w:gridCol w:w="4706"/>
      </w:tblGrid>
      <w:tr>
        <w:tc>
          <w:tcPr>
            <w:tcW w:type="dxa" w:w="2041"/>
            <w:shd w:val="clear" w:color="auto" w:fill="0E6E6A"/>
          </w:tcPr>
          <w:p>
            <w:pPr>
              <w:spacing w:after="40" w:before="40"/>
              <w:jc w:val="center"/>
            </w:pPr>
            <w:r/>
            <w:r>
              <w:rPr>
                <w:rFonts w:ascii="微软雅黑" w:hAnsi="微软雅黑" w:eastAsia="微软雅黑"/>
                <w:b/>
                <w:i w:val="0"/>
                <w:color w:val="FFFFFF"/>
                <w:sz w:val="19"/>
              </w:rPr>
              <w:t>环节</w:t>
            </w:r>
          </w:p>
        </w:tc>
        <w:tc>
          <w:tcPr>
            <w:tcW w:type="dxa" w:w="7257"/>
            <w:shd w:val="clear" w:color="auto" w:fill="0E6E6A"/>
          </w:tcPr>
          <w:p>
            <w:pPr>
              <w:spacing w:after="40" w:before="40"/>
              <w:jc w:val="center"/>
            </w:pPr>
            <w:r/>
            <w:r>
              <w:rPr>
                <w:rFonts w:ascii="微软雅黑" w:hAnsi="微软雅黑" w:eastAsia="微软雅黑"/>
                <w:b/>
                <w:i w:val="0"/>
                <w:color w:val="FFFFFF"/>
                <w:sz w:val="19"/>
              </w:rPr>
              <w:t>关键动作</w:t>
            </w:r>
          </w:p>
        </w:tc>
      </w:tr>
      <w:tr>
        <w:tc>
          <w:tcPr>
            <w:tcW w:type="dxa" w:w="2041"/>
          </w:tcPr>
          <w:p>
            <w:pPr>
              <w:spacing w:after="40" w:before="40" w:line="300" w:lineRule="auto"/>
            </w:pPr>
            <w:r/>
            <w:r>
              <w:rPr>
                <w:rFonts w:ascii="微软雅黑" w:hAnsi="微软雅黑" w:eastAsia="微软雅黑"/>
                <w:b w:val="0"/>
                <w:i w:val="0"/>
                <w:color w:val="102826"/>
                <w:sz w:val="18"/>
              </w:rPr>
              <w:t>① 报价</w:t>
            </w:r>
          </w:p>
        </w:tc>
        <w:tc>
          <w:tcPr>
            <w:tcW w:type="dxa" w:w="7257"/>
          </w:tcPr>
          <w:p>
            <w:pPr>
              <w:spacing w:after="40" w:before="40" w:line="300" w:lineRule="auto"/>
            </w:pPr>
            <w:r/>
            <w:r>
              <w:rPr>
                <w:rFonts w:ascii="微软雅黑" w:hAnsi="微软雅黑" w:eastAsia="微软雅黑"/>
                <w:b w:val="0"/>
                <w:i w:val="0"/>
                <w:color w:val="102826"/>
                <w:sz w:val="18"/>
              </w:rPr>
              <w:t>按型号、计价方式出多版本报价，报价版本可被合同引用。</w:t>
            </w:r>
          </w:p>
        </w:tc>
      </w:tr>
      <w:tr>
        <w:tc>
          <w:tcPr>
            <w:tcW w:type="dxa" w:w="2041"/>
            <w:shd w:val="clear" w:color="auto" w:fill="F2F9F8"/>
          </w:tcPr>
          <w:p>
            <w:pPr>
              <w:spacing w:after="40" w:before="40" w:line="300" w:lineRule="auto"/>
            </w:pPr>
            <w:r/>
            <w:r>
              <w:rPr>
                <w:rFonts w:ascii="微软雅黑" w:hAnsi="微软雅黑" w:eastAsia="微软雅黑"/>
                <w:b w:val="0"/>
                <w:i w:val="0"/>
                <w:color w:val="102826"/>
                <w:sz w:val="18"/>
              </w:rPr>
              <w:t>② 合同</w:t>
            </w:r>
          </w:p>
        </w:tc>
        <w:tc>
          <w:tcPr>
            <w:tcW w:type="dxa" w:w="7257"/>
            <w:shd w:val="clear" w:color="auto" w:fill="F2F9F8"/>
          </w:tcPr>
          <w:p>
            <w:pPr>
              <w:spacing w:after="40" w:before="40" w:line="300" w:lineRule="auto"/>
            </w:pPr>
            <w:r/>
            <w:r>
              <w:rPr>
                <w:rFonts w:ascii="微软雅黑" w:hAnsi="微软雅黑" w:eastAsia="微软雅黑"/>
                <w:b w:val="0"/>
                <w:i w:val="0"/>
                <w:color w:val="102826"/>
                <w:sz w:val="18"/>
              </w:rPr>
              <w:t>确定合同类型、计价条款、结算周期与燃油/机手约定。</w:t>
            </w:r>
          </w:p>
        </w:tc>
      </w:tr>
      <w:tr>
        <w:tc>
          <w:tcPr>
            <w:tcW w:type="dxa" w:w="2041"/>
          </w:tcPr>
          <w:p>
            <w:pPr>
              <w:spacing w:after="40" w:before="40" w:line="300" w:lineRule="auto"/>
            </w:pPr>
            <w:r/>
            <w:r>
              <w:rPr>
                <w:rFonts w:ascii="微软雅黑" w:hAnsi="微软雅黑" w:eastAsia="微软雅黑"/>
                <w:b w:val="0"/>
                <w:i w:val="0"/>
                <w:color w:val="102826"/>
                <w:sz w:val="18"/>
              </w:rPr>
              <w:t>③ 调度</w:t>
            </w:r>
          </w:p>
        </w:tc>
        <w:tc>
          <w:tcPr>
            <w:tcW w:type="dxa" w:w="7257"/>
          </w:tcPr>
          <w:p>
            <w:pPr>
              <w:spacing w:after="40" w:before="40" w:line="300" w:lineRule="auto"/>
            </w:pPr>
            <w:r/>
            <w:r>
              <w:rPr>
                <w:rFonts w:ascii="微软雅黑" w:hAnsi="微软雅黑" w:eastAsia="微软雅黑"/>
                <w:b w:val="0"/>
                <w:i w:val="0"/>
                <w:color w:val="102826"/>
                <w:sz w:val="18"/>
              </w:rPr>
              <w:t>安排进场、转场、退场，联动平板车运输与交接单。</w:t>
            </w:r>
          </w:p>
        </w:tc>
      </w:tr>
      <w:tr>
        <w:tc>
          <w:tcPr>
            <w:tcW w:type="dxa" w:w="2041"/>
            <w:shd w:val="clear" w:color="auto" w:fill="F2F9F8"/>
          </w:tcPr>
          <w:p>
            <w:pPr>
              <w:spacing w:after="40" w:before="40" w:line="300" w:lineRule="auto"/>
            </w:pPr>
            <w:r/>
            <w:r>
              <w:rPr>
                <w:rFonts w:ascii="微软雅黑" w:hAnsi="微软雅黑" w:eastAsia="微软雅黑"/>
                <w:b w:val="0"/>
                <w:i w:val="0"/>
                <w:color w:val="102826"/>
                <w:sz w:val="18"/>
              </w:rPr>
              <w:t>④ 台班</w:t>
            </w:r>
          </w:p>
        </w:tc>
        <w:tc>
          <w:tcPr>
            <w:tcW w:type="dxa" w:w="7257"/>
            <w:shd w:val="clear" w:color="auto" w:fill="F2F9F8"/>
          </w:tcPr>
          <w:p>
            <w:pPr>
              <w:spacing w:after="40" w:before="40" w:line="300" w:lineRule="auto"/>
            </w:pPr>
            <w:r/>
            <w:r>
              <w:rPr>
                <w:rFonts w:ascii="微软雅黑" w:hAnsi="微软雅黑" w:eastAsia="微软雅黑"/>
                <w:b w:val="0"/>
                <w:i w:val="0"/>
                <w:color w:val="102826"/>
                <w:sz w:val="18"/>
              </w:rPr>
              <w:t>现场记录台时、超时、油量、工程量，附客户签字。</w:t>
            </w:r>
          </w:p>
        </w:tc>
      </w:tr>
      <w:tr>
        <w:tc>
          <w:tcPr>
            <w:tcW w:type="dxa" w:w="2041"/>
          </w:tcPr>
          <w:p>
            <w:pPr>
              <w:spacing w:after="40" w:before="40" w:line="300" w:lineRule="auto"/>
            </w:pPr>
            <w:r/>
            <w:r>
              <w:rPr>
                <w:rFonts w:ascii="微软雅黑" w:hAnsi="微软雅黑" w:eastAsia="微软雅黑"/>
                <w:b w:val="0"/>
                <w:i w:val="0"/>
                <w:color w:val="102826"/>
                <w:sz w:val="18"/>
              </w:rPr>
              <w:t>⑤ 结算</w:t>
            </w:r>
          </w:p>
        </w:tc>
        <w:tc>
          <w:tcPr>
            <w:tcW w:type="dxa" w:w="7257"/>
          </w:tcPr>
          <w:p>
            <w:pPr>
              <w:spacing w:after="40" w:before="40" w:line="300" w:lineRule="auto"/>
            </w:pPr>
            <w:r/>
            <w:r>
              <w:rPr>
                <w:rFonts w:ascii="微软雅黑" w:hAnsi="微软雅黑" w:eastAsia="微软雅黑"/>
                <w:b w:val="0"/>
                <w:i w:val="0"/>
                <w:color w:val="102826"/>
                <w:sz w:val="18"/>
              </w:rPr>
              <w:t>按账期汇总台班、工单、签证，抵扣扣款与质保金。</w:t>
            </w:r>
          </w:p>
        </w:tc>
      </w:tr>
      <w:tr>
        <w:tc>
          <w:tcPr>
            <w:tcW w:type="dxa" w:w="2041"/>
            <w:shd w:val="clear" w:color="auto" w:fill="F2F9F8"/>
          </w:tcPr>
          <w:p>
            <w:pPr>
              <w:spacing w:after="40" w:before="40" w:line="300" w:lineRule="auto"/>
            </w:pPr>
            <w:r/>
            <w:r>
              <w:rPr>
                <w:rFonts w:ascii="微软雅黑" w:hAnsi="微软雅黑" w:eastAsia="微软雅黑"/>
                <w:b w:val="0"/>
                <w:i w:val="0"/>
                <w:color w:val="102826"/>
                <w:sz w:val="18"/>
              </w:rPr>
              <w:t>⑥ 核算</w:t>
            </w:r>
          </w:p>
        </w:tc>
        <w:tc>
          <w:tcPr>
            <w:tcW w:type="dxa" w:w="7257"/>
            <w:shd w:val="clear" w:color="auto" w:fill="F2F9F8"/>
          </w:tcPr>
          <w:p>
            <w:pPr>
              <w:spacing w:after="40" w:before="40" w:line="300" w:lineRule="auto"/>
            </w:pPr>
            <w:r/>
            <w:r>
              <w:rPr>
                <w:rFonts w:ascii="微软雅黑" w:hAnsi="微软雅黑" w:eastAsia="微软雅黑"/>
                <w:b w:val="0"/>
                <w:i w:val="0"/>
                <w:color w:val="102826"/>
                <w:sz w:val="18"/>
              </w:rPr>
              <w:t>归集收入与成本，输出单机毛利、年化回报与回收期。</w:t>
            </w:r>
          </w:p>
        </w:tc>
      </w:tr>
    </w:tbl>
    <w:p>
      <w:pPr>
        <w:spacing w:before="240" w:after="60"/>
      </w:pPr>
      <w:r>
        <w:rPr>
          <w:rFonts w:ascii="微软雅黑" w:hAnsi="微软雅黑" w:eastAsia="微软雅黑"/>
          <w:b/>
          <w:i w:val="0"/>
          <w:color w:val="102826"/>
          <w:sz w:val="25"/>
        </w:rPr>
        <w:t>3.2 单据流转链路</w:t>
      </w:r>
    </w:p>
    <w:p>
      <w:pPr>
        <w:spacing w:before="0" w:after="120" w:line="372" w:lineRule="auto"/>
        <w:jc w:val="left"/>
      </w:pPr>
      <w:r>
        <w:rPr>
          <w:rFonts w:ascii="微软雅黑" w:hAnsi="微软雅黑" w:eastAsia="微软雅黑"/>
          <w:b w:val="0"/>
          <w:i w:val="0"/>
          <w:color w:val="3D5A56"/>
          <w:sz w:val="19"/>
        </w:rPr>
        <w:t>下列单据按业务发生顺序流转，上游单据是下游单据的数据来源。</w:t>
      </w:r>
    </w:p>
    <w:tbl>
      <w:tblPr>
        <w:tblStyle w:val="TableGrid"/>
        <w:tblW w:type="auto" w:w="0"/>
        <w:jc w:val="center"/>
        <w:tblLayout w:type="autofit"/>
        <w:tblLook w:firstColumn="1" w:firstRow="1" w:lastColumn="0" w:lastRow="0" w:noHBand="0" w:noVBand="1" w:val="04A0"/>
      </w:tblPr>
      <w:tblGrid>
        <w:gridCol w:w="2353"/>
        <w:gridCol w:w="2353"/>
        <w:gridCol w:w="2353"/>
        <w:gridCol w:w="2353"/>
      </w:tblGrid>
      <w:tr>
        <w:tc>
          <w:tcPr>
            <w:tcW w:type="dxa" w:w="567"/>
            <w:shd w:val="clear" w:color="auto" w:fill="0E6E6A"/>
          </w:tcPr>
          <w:p>
            <w:pPr>
              <w:spacing w:after="40" w:before="40"/>
              <w:jc w:val="center"/>
            </w:pPr>
            <w:r/>
            <w:r>
              <w:rPr>
                <w:rFonts w:ascii="微软雅黑" w:hAnsi="微软雅黑" w:eastAsia="微软雅黑"/>
                <w:b/>
                <w:i w:val="0"/>
                <w:color w:val="FFFFFF"/>
                <w:sz w:val="18"/>
              </w:rPr>
              <w:t>#</w:t>
            </w:r>
          </w:p>
        </w:tc>
        <w:tc>
          <w:tcPr>
            <w:tcW w:type="dxa" w:w="1814"/>
            <w:shd w:val="clear" w:color="auto" w:fill="0E6E6A"/>
          </w:tcPr>
          <w:p>
            <w:pPr>
              <w:spacing w:after="40" w:before="40"/>
              <w:jc w:val="center"/>
            </w:pPr>
            <w:r/>
            <w:r>
              <w:rPr>
                <w:rFonts w:ascii="微软雅黑" w:hAnsi="微软雅黑" w:eastAsia="微软雅黑"/>
                <w:b/>
                <w:i w:val="0"/>
                <w:color w:val="FFFFFF"/>
                <w:sz w:val="18"/>
              </w:rPr>
              <w:t>单据</w:t>
            </w:r>
          </w:p>
        </w:tc>
        <w:tc>
          <w:tcPr>
            <w:tcW w:type="dxa" w:w="3061"/>
            <w:shd w:val="clear" w:color="auto" w:fill="0E6E6A"/>
          </w:tcPr>
          <w:p>
            <w:pPr>
              <w:spacing w:after="40" w:before="40"/>
              <w:jc w:val="center"/>
            </w:pPr>
            <w:r/>
            <w:r>
              <w:rPr>
                <w:rFonts w:ascii="微软雅黑" w:hAnsi="微软雅黑" w:eastAsia="微软雅黑"/>
                <w:b/>
                <w:i w:val="0"/>
                <w:color w:val="FFFFFF"/>
                <w:sz w:val="18"/>
              </w:rPr>
              <w:t>上游来源</w:t>
            </w:r>
          </w:p>
        </w:tc>
        <w:tc>
          <w:tcPr>
            <w:tcW w:type="dxa" w:w="3855"/>
            <w:shd w:val="clear" w:color="auto" w:fill="0E6E6A"/>
          </w:tcPr>
          <w:p>
            <w:pPr>
              <w:spacing w:after="40" w:before="40"/>
              <w:jc w:val="center"/>
            </w:pPr>
            <w:r/>
            <w:r>
              <w:rPr>
                <w:rFonts w:ascii="微软雅黑" w:hAnsi="微软雅黑" w:eastAsia="微软雅黑"/>
                <w:b/>
                <w:i w:val="0"/>
                <w:color w:val="FFFFFF"/>
                <w:sz w:val="18"/>
              </w:rPr>
              <w:t>作用</w:t>
            </w:r>
          </w:p>
        </w:tc>
      </w:tr>
      <w:tr>
        <w:tc>
          <w:tcPr>
            <w:tcW w:type="dxa" w:w="567"/>
          </w:tcPr>
          <w:p>
            <w:pPr>
              <w:spacing w:after="40" w:before="40" w:line="300" w:lineRule="auto"/>
            </w:pPr>
            <w:r/>
            <w:r>
              <w:rPr>
                <w:rFonts w:ascii="微软雅黑" w:hAnsi="微软雅黑" w:eastAsia="微软雅黑"/>
                <w:b w:val="0"/>
                <w:i w:val="0"/>
                <w:color w:val="102826"/>
                <w:sz w:val="16"/>
              </w:rPr>
              <w:t>1</w:t>
            </w:r>
          </w:p>
        </w:tc>
        <w:tc>
          <w:tcPr>
            <w:tcW w:type="dxa" w:w="1814"/>
          </w:tcPr>
          <w:p>
            <w:pPr>
              <w:spacing w:after="40" w:before="40" w:line="300" w:lineRule="auto"/>
            </w:pPr>
            <w:r/>
            <w:r>
              <w:rPr>
                <w:rFonts w:ascii="微软雅黑" w:hAnsi="微软雅黑" w:eastAsia="微软雅黑"/>
                <w:b w:val="0"/>
                <w:i w:val="0"/>
                <w:color w:val="102826"/>
                <w:sz w:val="16"/>
              </w:rPr>
              <w:t>租赁报价</w:t>
            </w:r>
          </w:p>
        </w:tc>
        <w:tc>
          <w:tcPr>
            <w:tcW w:type="dxa" w:w="3061"/>
          </w:tcPr>
          <w:p>
            <w:pPr>
              <w:spacing w:after="40" w:before="40" w:line="300" w:lineRule="auto"/>
            </w:pPr>
            <w:r/>
            <w:r>
              <w:rPr>
                <w:rFonts w:ascii="微软雅黑" w:hAnsi="微软雅黑" w:eastAsia="微软雅黑"/>
                <w:b w:val="0"/>
                <w:i w:val="0"/>
                <w:color w:val="102826"/>
                <w:sz w:val="16"/>
              </w:rPr>
              <w:t>客户档案、品牌型号</w:t>
            </w:r>
          </w:p>
        </w:tc>
        <w:tc>
          <w:tcPr>
            <w:tcW w:type="dxa" w:w="3855"/>
          </w:tcPr>
          <w:p>
            <w:pPr>
              <w:spacing w:after="40" w:before="40" w:line="300" w:lineRule="auto"/>
            </w:pPr>
            <w:r/>
            <w:r>
              <w:rPr>
                <w:rFonts w:ascii="微软雅黑" w:hAnsi="微软雅黑" w:eastAsia="微软雅黑"/>
                <w:b w:val="0"/>
                <w:i w:val="0"/>
                <w:color w:val="102826"/>
                <w:sz w:val="16"/>
              </w:rPr>
              <w:t>生成报价版本，供合同引用</w:t>
            </w:r>
          </w:p>
        </w:tc>
      </w:tr>
      <w:tr>
        <w:tc>
          <w:tcPr>
            <w:tcW w:type="dxa" w:w="567"/>
            <w:shd w:val="clear" w:color="auto" w:fill="F2F9F8"/>
          </w:tcPr>
          <w:p>
            <w:pPr>
              <w:spacing w:after="40" w:before="40" w:line="300" w:lineRule="auto"/>
            </w:pPr>
            <w:r/>
            <w:r>
              <w:rPr>
                <w:rFonts w:ascii="微软雅黑" w:hAnsi="微软雅黑" w:eastAsia="微软雅黑"/>
                <w:b w:val="0"/>
                <w:i w:val="0"/>
                <w:color w:val="102826"/>
                <w:sz w:val="16"/>
              </w:rPr>
              <w:t>2</w:t>
            </w:r>
          </w:p>
        </w:tc>
        <w:tc>
          <w:tcPr>
            <w:tcW w:type="dxa" w:w="1814"/>
            <w:shd w:val="clear" w:color="auto" w:fill="F2F9F8"/>
          </w:tcPr>
          <w:p>
            <w:pPr>
              <w:spacing w:after="40" w:before="40" w:line="300" w:lineRule="auto"/>
            </w:pPr>
            <w:r/>
            <w:r>
              <w:rPr>
                <w:rFonts w:ascii="微软雅黑" w:hAnsi="微软雅黑" w:eastAsia="微软雅黑"/>
                <w:b w:val="0"/>
                <w:i w:val="0"/>
                <w:color w:val="102826"/>
                <w:sz w:val="16"/>
              </w:rPr>
              <w:t>租赁合同</w:t>
            </w:r>
          </w:p>
        </w:tc>
        <w:tc>
          <w:tcPr>
            <w:tcW w:type="dxa" w:w="3061"/>
            <w:shd w:val="clear" w:color="auto" w:fill="F2F9F8"/>
          </w:tcPr>
          <w:p>
            <w:pPr>
              <w:spacing w:after="40" w:before="40" w:line="300" w:lineRule="auto"/>
            </w:pPr>
            <w:r/>
            <w:r>
              <w:rPr>
                <w:rFonts w:ascii="微软雅黑" w:hAnsi="微软雅黑" w:eastAsia="微软雅黑"/>
                <w:b w:val="0"/>
                <w:i w:val="0"/>
                <w:color w:val="102826"/>
                <w:sz w:val="16"/>
              </w:rPr>
              <w:t>报价单、项目工地</w:t>
            </w:r>
          </w:p>
        </w:tc>
        <w:tc>
          <w:tcPr>
            <w:tcW w:type="dxa" w:w="3855"/>
            <w:shd w:val="clear" w:color="auto" w:fill="F2F9F8"/>
          </w:tcPr>
          <w:p>
            <w:pPr>
              <w:spacing w:after="40" w:before="40" w:line="300" w:lineRule="auto"/>
            </w:pPr>
            <w:r/>
            <w:r>
              <w:rPr>
                <w:rFonts w:ascii="微软雅黑" w:hAnsi="微软雅黑" w:eastAsia="微软雅黑"/>
                <w:b w:val="0"/>
                <w:i w:val="0"/>
                <w:color w:val="102826"/>
                <w:sz w:val="16"/>
              </w:rPr>
              <w:t>确定计价条款与结算周期</w:t>
            </w:r>
          </w:p>
        </w:tc>
      </w:tr>
      <w:tr>
        <w:tc>
          <w:tcPr>
            <w:tcW w:type="dxa" w:w="567"/>
          </w:tcPr>
          <w:p>
            <w:pPr>
              <w:spacing w:after="40" w:before="40" w:line="300" w:lineRule="auto"/>
            </w:pPr>
            <w:r/>
            <w:r>
              <w:rPr>
                <w:rFonts w:ascii="微软雅黑" w:hAnsi="微软雅黑" w:eastAsia="微软雅黑"/>
                <w:b w:val="0"/>
                <w:i w:val="0"/>
                <w:color w:val="102826"/>
                <w:sz w:val="16"/>
              </w:rPr>
              <w:t>3</w:t>
            </w:r>
          </w:p>
        </w:tc>
        <w:tc>
          <w:tcPr>
            <w:tcW w:type="dxa" w:w="1814"/>
          </w:tcPr>
          <w:p>
            <w:pPr>
              <w:spacing w:after="40" w:before="40" w:line="300" w:lineRule="auto"/>
            </w:pPr>
            <w:r/>
            <w:r>
              <w:rPr>
                <w:rFonts w:ascii="微软雅黑" w:hAnsi="微软雅黑" w:eastAsia="微软雅黑"/>
                <w:b w:val="0"/>
                <w:i w:val="0"/>
                <w:color w:val="102826"/>
                <w:sz w:val="16"/>
              </w:rPr>
              <w:t>设备调度</w:t>
            </w:r>
          </w:p>
        </w:tc>
        <w:tc>
          <w:tcPr>
            <w:tcW w:type="dxa" w:w="3061"/>
          </w:tcPr>
          <w:p>
            <w:pPr>
              <w:spacing w:after="40" w:before="40" w:line="300" w:lineRule="auto"/>
            </w:pPr>
            <w:r/>
            <w:r>
              <w:rPr>
                <w:rFonts w:ascii="微软雅黑" w:hAnsi="微软雅黑" w:eastAsia="微软雅黑"/>
                <w:b w:val="0"/>
                <w:i w:val="0"/>
                <w:color w:val="102826"/>
                <w:sz w:val="16"/>
              </w:rPr>
              <w:t>合同、设备台账、项目工地</w:t>
            </w:r>
          </w:p>
        </w:tc>
        <w:tc>
          <w:tcPr>
            <w:tcW w:type="dxa" w:w="3855"/>
          </w:tcPr>
          <w:p>
            <w:pPr>
              <w:spacing w:after="40" w:before="40" w:line="300" w:lineRule="auto"/>
            </w:pPr>
            <w:r/>
            <w:r>
              <w:rPr>
                <w:rFonts w:ascii="微软雅黑" w:hAnsi="微软雅黑" w:eastAsia="微软雅黑"/>
                <w:b w:val="0"/>
                <w:i w:val="0"/>
                <w:color w:val="102826"/>
                <w:sz w:val="16"/>
              </w:rPr>
              <w:t>确定进场时间与运输方式</w:t>
            </w:r>
          </w:p>
        </w:tc>
      </w:tr>
      <w:tr>
        <w:tc>
          <w:tcPr>
            <w:tcW w:type="dxa" w:w="567"/>
            <w:shd w:val="clear" w:color="auto" w:fill="F2F9F8"/>
          </w:tcPr>
          <w:p>
            <w:pPr>
              <w:spacing w:after="40" w:before="40" w:line="300" w:lineRule="auto"/>
            </w:pPr>
            <w:r/>
            <w:r>
              <w:rPr>
                <w:rFonts w:ascii="微软雅黑" w:hAnsi="微软雅黑" w:eastAsia="微软雅黑"/>
                <w:b w:val="0"/>
                <w:i w:val="0"/>
                <w:color w:val="102826"/>
                <w:sz w:val="16"/>
              </w:rPr>
              <w:t>4</w:t>
            </w:r>
          </w:p>
        </w:tc>
        <w:tc>
          <w:tcPr>
            <w:tcW w:type="dxa" w:w="1814"/>
            <w:shd w:val="clear" w:color="auto" w:fill="F2F9F8"/>
          </w:tcPr>
          <w:p>
            <w:pPr>
              <w:spacing w:after="40" w:before="40" w:line="300" w:lineRule="auto"/>
            </w:pPr>
            <w:r/>
            <w:r>
              <w:rPr>
                <w:rFonts w:ascii="微软雅黑" w:hAnsi="微软雅黑" w:eastAsia="微软雅黑"/>
                <w:b w:val="0"/>
                <w:i w:val="0"/>
                <w:color w:val="102826"/>
                <w:sz w:val="16"/>
              </w:rPr>
              <w:t>设备交接</w:t>
            </w:r>
          </w:p>
        </w:tc>
        <w:tc>
          <w:tcPr>
            <w:tcW w:type="dxa" w:w="3061"/>
            <w:shd w:val="clear" w:color="auto" w:fill="F2F9F8"/>
          </w:tcPr>
          <w:p>
            <w:pPr>
              <w:spacing w:after="40" w:before="40" w:line="300" w:lineRule="auto"/>
            </w:pPr>
            <w:r/>
            <w:r>
              <w:rPr>
                <w:rFonts w:ascii="微软雅黑" w:hAnsi="微软雅黑" w:eastAsia="微软雅黑"/>
                <w:b w:val="0"/>
                <w:i w:val="0"/>
                <w:color w:val="102826"/>
                <w:sz w:val="16"/>
              </w:rPr>
              <w:t>调度单、设备台账</w:t>
            </w:r>
          </w:p>
        </w:tc>
        <w:tc>
          <w:tcPr>
            <w:tcW w:type="dxa" w:w="3855"/>
            <w:shd w:val="clear" w:color="auto" w:fill="F2F9F8"/>
          </w:tcPr>
          <w:p>
            <w:pPr>
              <w:spacing w:after="40" w:before="40" w:line="300" w:lineRule="auto"/>
            </w:pPr>
            <w:r/>
            <w:r>
              <w:rPr>
                <w:rFonts w:ascii="微软雅黑" w:hAnsi="微软雅黑" w:eastAsia="微软雅黑"/>
                <w:b w:val="0"/>
                <w:i w:val="0"/>
                <w:color w:val="102826"/>
                <w:sz w:val="16"/>
              </w:rPr>
              <w:t>确认油量、台时与设备状态</w:t>
            </w:r>
          </w:p>
        </w:tc>
      </w:tr>
      <w:tr>
        <w:tc>
          <w:tcPr>
            <w:tcW w:type="dxa" w:w="567"/>
          </w:tcPr>
          <w:p>
            <w:pPr>
              <w:spacing w:after="40" w:before="40" w:line="300" w:lineRule="auto"/>
            </w:pPr>
            <w:r/>
            <w:r>
              <w:rPr>
                <w:rFonts w:ascii="微软雅黑" w:hAnsi="微软雅黑" w:eastAsia="微软雅黑"/>
                <w:b w:val="0"/>
                <w:i w:val="0"/>
                <w:color w:val="102826"/>
                <w:sz w:val="16"/>
              </w:rPr>
              <w:t>5</w:t>
            </w:r>
          </w:p>
        </w:tc>
        <w:tc>
          <w:tcPr>
            <w:tcW w:type="dxa" w:w="1814"/>
          </w:tcPr>
          <w:p>
            <w:pPr>
              <w:spacing w:after="40" w:before="40" w:line="300" w:lineRule="auto"/>
            </w:pPr>
            <w:r/>
            <w:r>
              <w:rPr>
                <w:rFonts w:ascii="微软雅黑" w:hAnsi="微软雅黑" w:eastAsia="微软雅黑"/>
                <w:b w:val="0"/>
                <w:i w:val="0"/>
                <w:color w:val="102826"/>
                <w:sz w:val="16"/>
              </w:rPr>
              <w:t>施工工单</w:t>
            </w:r>
          </w:p>
        </w:tc>
        <w:tc>
          <w:tcPr>
            <w:tcW w:type="dxa" w:w="3061"/>
          </w:tcPr>
          <w:p>
            <w:pPr>
              <w:spacing w:after="40" w:before="40" w:line="300" w:lineRule="auto"/>
            </w:pPr>
            <w:r/>
            <w:r>
              <w:rPr>
                <w:rFonts w:ascii="微软雅黑" w:hAnsi="微软雅黑" w:eastAsia="微软雅黑"/>
                <w:b w:val="0"/>
                <w:i w:val="0"/>
                <w:color w:val="102826"/>
                <w:sz w:val="16"/>
              </w:rPr>
              <w:t>合同、项目工地、机手</w:t>
            </w:r>
          </w:p>
        </w:tc>
        <w:tc>
          <w:tcPr>
            <w:tcW w:type="dxa" w:w="3855"/>
          </w:tcPr>
          <w:p>
            <w:pPr>
              <w:spacing w:after="40" w:before="40" w:line="300" w:lineRule="auto"/>
            </w:pPr>
            <w:r/>
            <w:r>
              <w:rPr>
                <w:rFonts w:ascii="微软雅黑" w:hAnsi="微软雅黑" w:eastAsia="微软雅黑"/>
                <w:b w:val="0"/>
                <w:i w:val="0"/>
                <w:color w:val="102826"/>
                <w:sz w:val="16"/>
              </w:rPr>
              <w:t>带人施工按工序开单</w:t>
            </w:r>
          </w:p>
        </w:tc>
      </w:tr>
      <w:tr>
        <w:tc>
          <w:tcPr>
            <w:tcW w:type="dxa" w:w="567"/>
            <w:shd w:val="clear" w:color="auto" w:fill="F2F9F8"/>
          </w:tcPr>
          <w:p>
            <w:pPr>
              <w:spacing w:after="40" w:before="40" w:line="300" w:lineRule="auto"/>
            </w:pPr>
            <w:r/>
            <w:r>
              <w:rPr>
                <w:rFonts w:ascii="微软雅黑" w:hAnsi="微软雅黑" w:eastAsia="微软雅黑"/>
                <w:b w:val="0"/>
                <w:i w:val="0"/>
                <w:color w:val="102826"/>
                <w:sz w:val="16"/>
              </w:rPr>
              <w:t>6</w:t>
            </w:r>
          </w:p>
        </w:tc>
        <w:tc>
          <w:tcPr>
            <w:tcW w:type="dxa" w:w="1814"/>
            <w:shd w:val="clear" w:color="auto" w:fill="F2F9F8"/>
          </w:tcPr>
          <w:p>
            <w:pPr>
              <w:spacing w:after="40" w:before="40" w:line="300" w:lineRule="auto"/>
            </w:pPr>
            <w:r/>
            <w:r>
              <w:rPr>
                <w:rFonts w:ascii="微软雅黑" w:hAnsi="微软雅黑" w:eastAsia="微软雅黑"/>
                <w:b w:val="0"/>
                <w:i w:val="0"/>
                <w:color w:val="102826"/>
                <w:sz w:val="16"/>
              </w:rPr>
              <w:t>台班记录</w:t>
            </w:r>
          </w:p>
        </w:tc>
        <w:tc>
          <w:tcPr>
            <w:tcW w:type="dxa" w:w="3061"/>
            <w:shd w:val="clear" w:color="auto" w:fill="F2F9F8"/>
          </w:tcPr>
          <w:p>
            <w:pPr>
              <w:spacing w:after="40" w:before="40" w:line="300" w:lineRule="auto"/>
            </w:pPr>
            <w:r/>
            <w:r>
              <w:rPr>
                <w:rFonts w:ascii="微软雅黑" w:hAnsi="微软雅黑" w:eastAsia="微软雅黑"/>
                <w:b w:val="0"/>
                <w:i w:val="0"/>
                <w:color w:val="102826"/>
                <w:sz w:val="16"/>
              </w:rPr>
              <w:t>施工工单、合同计价条款</w:t>
            </w:r>
          </w:p>
        </w:tc>
        <w:tc>
          <w:tcPr>
            <w:tcW w:type="dxa" w:w="3855"/>
            <w:shd w:val="clear" w:color="auto" w:fill="F2F9F8"/>
          </w:tcPr>
          <w:p>
            <w:pPr>
              <w:spacing w:after="40" w:before="40" w:line="300" w:lineRule="auto"/>
            </w:pPr>
            <w:r/>
            <w:r>
              <w:rPr>
                <w:rFonts w:ascii="微软雅黑" w:hAnsi="微软雅黑" w:eastAsia="微软雅黑"/>
                <w:b w:val="0"/>
                <w:i w:val="0"/>
                <w:color w:val="102826"/>
                <w:sz w:val="16"/>
              </w:rPr>
              <w:t>记录台时、超时、油量与签字</w:t>
            </w:r>
          </w:p>
        </w:tc>
      </w:tr>
      <w:tr>
        <w:tc>
          <w:tcPr>
            <w:tcW w:type="dxa" w:w="567"/>
          </w:tcPr>
          <w:p>
            <w:pPr>
              <w:spacing w:after="40" w:before="40" w:line="300" w:lineRule="auto"/>
            </w:pPr>
            <w:r/>
            <w:r>
              <w:rPr>
                <w:rFonts w:ascii="微软雅黑" w:hAnsi="微软雅黑" w:eastAsia="微软雅黑"/>
                <w:b w:val="0"/>
                <w:i w:val="0"/>
                <w:color w:val="102826"/>
                <w:sz w:val="16"/>
              </w:rPr>
              <w:t>7</w:t>
            </w:r>
          </w:p>
        </w:tc>
        <w:tc>
          <w:tcPr>
            <w:tcW w:type="dxa" w:w="1814"/>
          </w:tcPr>
          <w:p>
            <w:pPr>
              <w:spacing w:after="40" w:before="40" w:line="300" w:lineRule="auto"/>
            </w:pPr>
            <w:r/>
            <w:r>
              <w:rPr>
                <w:rFonts w:ascii="微软雅黑" w:hAnsi="微软雅黑" w:eastAsia="微软雅黑"/>
                <w:b w:val="0"/>
                <w:i w:val="0"/>
                <w:color w:val="102826"/>
                <w:sz w:val="16"/>
              </w:rPr>
              <w:t>现场签证</w:t>
            </w:r>
          </w:p>
        </w:tc>
        <w:tc>
          <w:tcPr>
            <w:tcW w:type="dxa" w:w="3061"/>
          </w:tcPr>
          <w:p>
            <w:pPr>
              <w:spacing w:after="40" w:before="40" w:line="300" w:lineRule="auto"/>
            </w:pPr>
            <w:r/>
            <w:r>
              <w:rPr>
                <w:rFonts w:ascii="微软雅黑" w:hAnsi="微软雅黑" w:eastAsia="微软雅黑"/>
                <w:b w:val="0"/>
                <w:i w:val="0"/>
                <w:color w:val="102826"/>
                <w:sz w:val="16"/>
              </w:rPr>
              <w:t>台班记录、项目工地</w:t>
            </w:r>
          </w:p>
        </w:tc>
        <w:tc>
          <w:tcPr>
            <w:tcW w:type="dxa" w:w="3855"/>
          </w:tcPr>
          <w:p>
            <w:pPr>
              <w:spacing w:after="40" w:before="40" w:line="300" w:lineRule="auto"/>
            </w:pPr>
            <w:r/>
            <w:r>
              <w:rPr>
                <w:rFonts w:ascii="微软雅黑" w:hAnsi="微软雅黑" w:eastAsia="微软雅黑"/>
                <w:b w:val="0"/>
                <w:i w:val="0"/>
                <w:color w:val="102826"/>
                <w:sz w:val="16"/>
              </w:rPr>
              <w:t>记录变更、窝工与二次转运</w:t>
            </w:r>
          </w:p>
        </w:tc>
      </w:tr>
      <w:tr>
        <w:tc>
          <w:tcPr>
            <w:tcW w:type="dxa" w:w="567"/>
            <w:shd w:val="clear" w:color="auto" w:fill="F2F9F8"/>
          </w:tcPr>
          <w:p>
            <w:pPr>
              <w:spacing w:after="40" w:before="40" w:line="300" w:lineRule="auto"/>
            </w:pPr>
            <w:r/>
            <w:r>
              <w:rPr>
                <w:rFonts w:ascii="微软雅黑" w:hAnsi="微软雅黑" w:eastAsia="微软雅黑"/>
                <w:b w:val="0"/>
                <w:i w:val="0"/>
                <w:color w:val="102826"/>
                <w:sz w:val="16"/>
              </w:rPr>
              <w:t>8</w:t>
            </w:r>
          </w:p>
        </w:tc>
        <w:tc>
          <w:tcPr>
            <w:tcW w:type="dxa" w:w="1814"/>
            <w:shd w:val="clear" w:color="auto" w:fill="F2F9F8"/>
          </w:tcPr>
          <w:p>
            <w:pPr>
              <w:spacing w:after="40" w:before="40" w:line="300" w:lineRule="auto"/>
            </w:pPr>
            <w:r/>
            <w:r>
              <w:rPr>
                <w:rFonts w:ascii="微软雅黑" w:hAnsi="微软雅黑" w:eastAsia="微软雅黑"/>
                <w:b w:val="0"/>
                <w:i w:val="0"/>
                <w:color w:val="102826"/>
                <w:sz w:val="16"/>
              </w:rPr>
              <w:t>结算单</w:t>
            </w:r>
          </w:p>
        </w:tc>
        <w:tc>
          <w:tcPr>
            <w:tcW w:type="dxa" w:w="3061"/>
            <w:shd w:val="clear" w:color="auto" w:fill="F2F9F8"/>
          </w:tcPr>
          <w:p>
            <w:pPr>
              <w:spacing w:after="40" w:before="40" w:line="300" w:lineRule="auto"/>
            </w:pPr>
            <w:r/>
            <w:r>
              <w:rPr>
                <w:rFonts w:ascii="微软雅黑" w:hAnsi="微软雅黑" w:eastAsia="微软雅黑"/>
                <w:b w:val="0"/>
                <w:i w:val="0"/>
                <w:color w:val="102826"/>
                <w:sz w:val="16"/>
              </w:rPr>
              <w:t>台班、工单、签证、合同</w:t>
            </w:r>
          </w:p>
        </w:tc>
        <w:tc>
          <w:tcPr>
            <w:tcW w:type="dxa" w:w="3855"/>
            <w:shd w:val="clear" w:color="auto" w:fill="F2F9F8"/>
          </w:tcPr>
          <w:p>
            <w:pPr>
              <w:spacing w:after="40" w:before="40" w:line="300" w:lineRule="auto"/>
            </w:pPr>
            <w:r/>
            <w:r>
              <w:rPr>
                <w:rFonts w:ascii="微软雅黑" w:hAnsi="微软雅黑" w:eastAsia="微软雅黑"/>
                <w:b w:val="0"/>
                <w:i w:val="0"/>
                <w:color w:val="102826"/>
                <w:sz w:val="16"/>
              </w:rPr>
              <w:t>按账期汇总金额并扣减</w:t>
            </w:r>
          </w:p>
        </w:tc>
      </w:tr>
      <w:tr>
        <w:tc>
          <w:tcPr>
            <w:tcW w:type="dxa" w:w="567"/>
          </w:tcPr>
          <w:p>
            <w:pPr>
              <w:spacing w:after="40" w:before="40" w:line="300" w:lineRule="auto"/>
            </w:pPr>
            <w:r/>
            <w:r>
              <w:rPr>
                <w:rFonts w:ascii="微软雅黑" w:hAnsi="微软雅黑" w:eastAsia="微软雅黑"/>
                <w:b w:val="0"/>
                <w:i w:val="0"/>
                <w:color w:val="102826"/>
                <w:sz w:val="16"/>
              </w:rPr>
              <w:t>9</w:t>
            </w:r>
          </w:p>
        </w:tc>
        <w:tc>
          <w:tcPr>
            <w:tcW w:type="dxa" w:w="1814"/>
          </w:tcPr>
          <w:p>
            <w:pPr>
              <w:spacing w:after="40" w:before="40" w:line="300" w:lineRule="auto"/>
            </w:pPr>
            <w:r/>
            <w:r>
              <w:rPr>
                <w:rFonts w:ascii="微软雅黑" w:hAnsi="微软雅黑" w:eastAsia="微软雅黑"/>
                <w:b w:val="0"/>
                <w:i w:val="0"/>
                <w:color w:val="102826"/>
                <w:sz w:val="16"/>
              </w:rPr>
              <w:t>应收账单</w:t>
            </w:r>
          </w:p>
        </w:tc>
        <w:tc>
          <w:tcPr>
            <w:tcW w:type="dxa" w:w="3061"/>
          </w:tcPr>
          <w:p>
            <w:pPr>
              <w:spacing w:after="40" w:before="40" w:line="300" w:lineRule="auto"/>
            </w:pPr>
            <w:r/>
            <w:r>
              <w:rPr>
                <w:rFonts w:ascii="微软雅黑" w:hAnsi="微软雅黑" w:eastAsia="微软雅黑"/>
                <w:b w:val="0"/>
                <w:i w:val="0"/>
                <w:color w:val="102826"/>
                <w:sz w:val="16"/>
              </w:rPr>
              <w:t>结算单、客户档案</w:t>
            </w:r>
          </w:p>
        </w:tc>
        <w:tc>
          <w:tcPr>
            <w:tcW w:type="dxa" w:w="3855"/>
          </w:tcPr>
          <w:p>
            <w:pPr>
              <w:spacing w:after="40" w:before="40" w:line="300" w:lineRule="auto"/>
            </w:pPr>
            <w:r/>
            <w:r>
              <w:rPr>
                <w:rFonts w:ascii="微软雅黑" w:hAnsi="微软雅黑" w:eastAsia="微软雅黑"/>
                <w:b w:val="0"/>
                <w:i w:val="0"/>
                <w:color w:val="102826"/>
                <w:sz w:val="16"/>
              </w:rPr>
              <w:t>生成应收与到期日</w:t>
            </w:r>
          </w:p>
        </w:tc>
      </w:tr>
      <w:tr>
        <w:tc>
          <w:tcPr>
            <w:tcW w:type="dxa" w:w="567"/>
            <w:shd w:val="clear" w:color="auto" w:fill="F2F9F8"/>
          </w:tcPr>
          <w:p>
            <w:pPr>
              <w:spacing w:after="40" w:before="40" w:line="300" w:lineRule="auto"/>
            </w:pPr>
            <w:r/>
            <w:r>
              <w:rPr>
                <w:rFonts w:ascii="微软雅黑" w:hAnsi="微软雅黑" w:eastAsia="微软雅黑"/>
                <w:b w:val="0"/>
                <w:i w:val="0"/>
                <w:color w:val="102826"/>
                <w:sz w:val="16"/>
              </w:rPr>
              <w:t>10</w:t>
            </w:r>
          </w:p>
        </w:tc>
        <w:tc>
          <w:tcPr>
            <w:tcW w:type="dxa" w:w="1814"/>
            <w:shd w:val="clear" w:color="auto" w:fill="F2F9F8"/>
          </w:tcPr>
          <w:p>
            <w:pPr>
              <w:spacing w:after="40" w:before="40" w:line="300" w:lineRule="auto"/>
            </w:pPr>
            <w:r/>
            <w:r>
              <w:rPr>
                <w:rFonts w:ascii="微软雅黑" w:hAnsi="微软雅黑" w:eastAsia="微软雅黑"/>
                <w:b w:val="0"/>
                <w:i w:val="0"/>
                <w:color w:val="102826"/>
                <w:sz w:val="16"/>
              </w:rPr>
              <w:t>收款核销</w:t>
            </w:r>
          </w:p>
        </w:tc>
        <w:tc>
          <w:tcPr>
            <w:tcW w:type="dxa" w:w="3061"/>
            <w:shd w:val="clear" w:color="auto" w:fill="F2F9F8"/>
          </w:tcPr>
          <w:p>
            <w:pPr>
              <w:spacing w:after="40" w:before="40" w:line="300" w:lineRule="auto"/>
            </w:pPr>
            <w:r/>
            <w:r>
              <w:rPr>
                <w:rFonts w:ascii="微软雅黑" w:hAnsi="微软雅黑" w:eastAsia="微软雅黑"/>
                <w:b w:val="0"/>
                <w:i w:val="0"/>
                <w:color w:val="102826"/>
                <w:sz w:val="16"/>
              </w:rPr>
              <w:t>应收账单、资金账户</w:t>
            </w:r>
          </w:p>
        </w:tc>
        <w:tc>
          <w:tcPr>
            <w:tcW w:type="dxa" w:w="3855"/>
            <w:shd w:val="clear" w:color="auto" w:fill="F2F9F8"/>
          </w:tcPr>
          <w:p>
            <w:pPr>
              <w:spacing w:after="40" w:before="40" w:line="300" w:lineRule="auto"/>
            </w:pPr>
            <w:r/>
            <w:r>
              <w:rPr>
                <w:rFonts w:ascii="微软雅黑" w:hAnsi="微软雅黑" w:eastAsia="微软雅黑"/>
                <w:b w:val="0"/>
                <w:i w:val="0"/>
                <w:color w:val="102826"/>
                <w:sz w:val="16"/>
              </w:rPr>
              <w:t>核销收款并回写余额</w:t>
            </w:r>
          </w:p>
        </w:tc>
      </w:tr>
      <w:tr>
        <w:tc>
          <w:tcPr>
            <w:tcW w:type="dxa" w:w="567"/>
          </w:tcPr>
          <w:p>
            <w:pPr>
              <w:spacing w:after="40" w:before="40" w:line="300" w:lineRule="auto"/>
            </w:pPr>
            <w:r/>
            <w:r>
              <w:rPr>
                <w:rFonts w:ascii="微软雅黑" w:hAnsi="微软雅黑" w:eastAsia="微软雅黑"/>
                <w:b w:val="0"/>
                <w:i w:val="0"/>
                <w:color w:val="102826"/>
                <w:sz w:val="16"/>
              </w:rPr>
              <w:t>11</w:t>
            </w:r>
          </w:p>
        </w:tc>
        <w:tc>
          <w:tcPr>
            <w:tcW w:type="dxa" w:w="1814"/>
          </w:tcPr>
          <w:p>
            <w:pPr>
              <w:spacing w:after="40" w:before="40" w:line="300" w:lineRule="auto"/>
            </w:pPr>
            <w:r/>
            <w:r>
              <w:rPr>
                <w:rFonts w:ascii="微软雅黑" w:hAnsi="微软雅黑" w:eastAsia="微软雅黑"/>
                <w:b w:val="0"/>
                <w:i w:val="0"/>
                <w:color w:val="102826"/>
                <w:sz w:val="16"/>
              </w:rPr>
              <w:t>发票管理</w:t>
            </w:r>
          </w:p>
        </w:tc>
        <w:tc>
          <w:tcPr>
            <w:tcW w:type="dxa" w:w="3061"/>
          </w:tcPr>
          <w:p>
            <w:pPr>
              <w:spacing w:after="40" w:before="40" w:line="300" w:lineRule="auto"/>
            </w:pPr>
            <w:r/>
            <w:r>
              <w:rPr>
                <w:rFonts w:ascii="微软雅黑" w:hAnsi="微软雅黑" w:eastAsia="微软雅黑"/>
                <w:b w:val="0"/>
                <w:i w:val="0"/>
                <w:color w:val="102826"/>
                <w:sz w:val="16"/>
              </w:rPr>
              <w:t>应收账单、税务管理</w:t>
            </w:r>
          </w:p>
        </w:tc>
        <w:tc>
          <w:tcPr>
            <w:tcW w:type="dxa" w:w="3855"/>
          </w:tcPr>
          <w:p>
            <w:pPr>
              <w:spacing w:after="40" w:before="40" w:line="300" w:lineRule="auto"/>
            </w:pPr>
            <w:r/>
            <w:r>
              <w:rPr>
                <w:rFonts w:ascii="微软雅黑" w:hAnsi="微软雅黑" w:eastAsia="微软雅黑"/>
                <w:b w:val="0"/>
                <w:i w:val="0"/>
                <w:color w:val="102826"/>
                <w:sz w:val="16"/>
              </w:rPr>
              <w:t>按 13% / 9% / 3% 口径开票</w:t>
            </w:r>
          </w:p>
        </w:tc>
      </w:tr>
      <w:tr>
        <w:tc>
          <w:tcPr>
            <w:tcW w:type="dxa" w:w="567"/>
            <w:shd w:val="clear" w:color="auto" w:fill="F2F9F8"/>
          </w:tcPr>
          <w:p>
            <w:pPr>
              <w:spacing w:after="40" w:before="40" w:line="300" w:lineRule="auto"/>
            </w:pPr>
            <w:r/>
            <w:r>
              <w:rPr>
                <w:rFonts w:ascii="微软雅黑" w:hAnsi="微软雅黑" w:eastAsia="微软雅黑"/>
                <w:b w:val="0"/>
                <w:i w:val="0"/>
                <w:color w:val="102826"/>
                <w:sz w:val="16"/>
              </w:rPr>
              <w:t>12</w:t>
            </w:r>
          </w:p>
        </w:tc>
        <w:tc>
          <w:tcPr>
            <w:tcW w:type="dxa" w:w="1814"/>
            <w:shd w:val="clear" w:color="auto" w:fill="F2F9F8"/>
          </w:tcPr>
          <w:p>
            <w:pPr>
              <w:spacing w:after="40" w:before="40" w:line="300" w:lineRule="auto"/>
            </w:pPr>
            <w:r/>
            <w:r>
              <w:rPr>
                <w:rFonts w:ascii="微软雅黑" w:hAnsi="微软雅黑" w:eastAsia="微软雅黑"/>
                <w:b w:val="0"/>
                <w:i w:val="0"/>
                <w:color w:val="102826"/>
                <w:sz w:val="16"/>
              </w:rPr>
              <w:t>单机核算</w:t>
            </w:r>
          </w:p>
        </w:tc>
        <w:tc>
          <w:tcPr>
            <w:tcW w:type="dxa" w:w="3061"/>
            <w:shd w:val="clear" w:color="auto" w:fill="F2F9F8"/>
          </w:tcPr>
          <w:p>
            <w:pPr>
              <w:spacing w:after="40" w:before="40" w:line="300" w:lineRule="auto"/>
            </w:pPr>
            <w:r/>
            <w:r>
              <w:rPr>
                <w:rFonts w:ascii="微软雅黑" w:hAnsi="微软雅黑" w:eastAsia="微软雅黑"/>
                <w:b w:val="0"/>
                <w:i w:val="0"/>
                <w:color w:val="102826"/>
                <w:sz w:val="16"/>
              </w:rPr>
              <w:t>台班、加油、维修、折旧</w:t>
            </w:r>
          </w:p>
        </w:tc>
        <w:tc>
          <w:tcPr>
            <w:tcW w:type="dxa" w:w="3855"/>
            <w:shd w:val="clear" w:color="auto" w:fill="F2F9F8"/>
          </w:tcPr>
          <w:p>
            <w:pPr>
              <w:spacing w:after="40" w:before="40" w:line="300" w:lineRule="auto"/>
            </w:pPr>
            <w:r/>
            <w:r>
              <w:rPr>
                <w:rFonts w:ascii="微软雅黑" w:hAnsi="微软雅黑" w:eastAsia="微软雅黑"/>
                <w:b w:val="0"/>
                <w:i w:val="0"/>
                <w:color w:val="102826"/>
                <w:sz w:val="16"/>
              </w:rPr>
              <w:t>输出毛利与投资回收期</w:t>
            </w:r>
          </w:p>
        </w:tc>
      </w:tr>
    </w:tbl>
    <w:p>
      <w:pPr>
        <w:spacing w:before="240" w:after="60"/>
      </w:pPr>
      <w:r>
        <w:rPr>
          <w:rFonts w:ascii="微软雅黑" w:hAnsi="微软雅黑" w:eastAsia="微软雅黑"/>
          <w:b/>
          <w:i w:val="0"/>
          <w:color w:val="102826"/>
          <w:sz w:val="25"/>
        </w:rPr>
        <w:t>3.3 数字穿透</w:t>
      </w:r>
    </w:p>
    <w:p>
      <w:pPr>
        <w:spacing w:before="0" w:after="120" w:line="372" w:lineRule="auto"/>
        <w:jc w:val="left"/>
      </w:pPr>
      <w:r>
        <w:rPr>
          <w:rFonts w:ascii="微软雅黑" w:hAnsi="微软雅黑" w:eastAsia="微软雅黑"/>
          <w:b w:val="0"/>
          <w:i w:val="0"/>
          <w:color w:val="102826"/>
          <w:sz w:val="21"/>
        </w:rPr>
        <w:t>仪表盘、运营大屏、统计报表里的每一个金额与数量，点击即可下钻到形成它的原始单据；找不到来源的数字，不允许出现在看板上。</w:t>
      </w:r>
    </w:p>
    <w:p>
      <w:r>
        <w:br w:type="page"/>
      </w:r>
    </w:p>
    <w:p>
      <w:pPr>
        <w:spacing w:before="360" w:after="80"/>
        <w:pBdr>
          <w:bottom w:val="single" w:sz="10" w:space="4" w:color="0E6E6A"/>
        </w:pBdr>
      </w:pPr>
      <w:r>
        <w:rPr>
          <w:rFonts w:ascii="微软雅黑" w:hAnsi="微软雅黑" w:eastAsia="微软雅黑"/>
          <w:b/>
          <w:i w:val="0"/>
          <w:color w:val="0E6E6A"/>
          <w:sz w:val="36"/>
        </w:rPr>
        <w:t>四  三类业务模型：纯租赁 / 带人施工 / 一体化</w:t>
      </w:r>
    </w:p>
    <w:p>
      <w:pPr>
        <w:spacing w:before="0" w:after="120" w:line="372" w:lineRule="auto"/>
        <w:jc w:val="left"/>
      </w:pPr>
      <w:r>
        <w:rPr>
          <w:rFonts w:ascii="微软雅黑" w:hAnsi="微软雅黑" w:eastAsia="微软雅黑"/>
          <w:b w:val="0"/>
          <w:i w:val="0"/>
          <w:color w:val="102826"/>
          <w:sz w:val="21"/>
        </w:rPr>
        <w:t>三种做法不是三套系统，而是同一套合同与结算内核，按业务类型切换口径与必填项。</w:t>
      </w:r>
    </w:p>
    <w:p>
      <w:pPr>
        <w:spacing w:before="240" w:after="60"/>
      </w:pPr>
      <w:r>
        <w:rPr>
          <w:rFonts w:ascii="微软雅黑" w:hAnsi="微软雅黑" w:eastAsia="微软雅黑"/>
          <w:b/>
          <w:i w:val="0"/>
          <w:color w:val="102826"/>
          <w:sz w:val="25"/>
        </w:rPr>
        <w:t>纯租赁　——　只租设备，不带机手</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按台班 / 包月 / 台日计价</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燃油与机手由承租方负责</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进退场运输费单独计</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适合长期进场、甲方自有班组</w:t>
      </w:r>
    </w:p>
    <w:p>
      <w:pPr>
        <w:spacing w:before="240" w:after="60"/>
      </w:pPr>
      <w:r>
        <w:rPr>
          <w:rFonts w:ascii="微软雅黑" w:hAnsi="微软雅黑" w:eastAsia="微软雅黑"/>
          <w:b/>
          <w:i w:val="0"/>
          <w:color w:val="102826"/>
          <w:sz w:val="25"/>
        </w:rPr>
        <w:t>带人施工　——　设备 + 机手 + 燃油</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机手档案与操作证校验</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燃油承担方在合同约定</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施工工单与作业许可</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超时、夜班、窝工单独计费</w:t>
      </w:r>
    </w:p>
    <w:p>
      <w:pPr>
        <w:spacing w:before="240" w:after="60"/>
      </w:pPr>
      <w:r>
        <w:rPr>
          <w:rFonts w:ascii="微软雅黑" w:hAnsi="微软雅黑" w:eastAsia="微软雅黑"/>
          <w:b/>
          <w:i w:val="0"/>
          <w:color w:val="102826"/>
          <w:sz w:val="25"/>
        </w:rPr>
        <w:t>一体化　——　含工程量与工序</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按立方 / 吨次 / 米 / 平方计价</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现场签证与设计变更</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工程量需甲方确认</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适合土方、桩基、路面专业分包</w:t>
      </w:r>
    </w:p>
    <w:p>
      <w:pPr>
        <w:spacing w:before="0" w:after="120" w:line="372" w:lineRule="auto"/>
        <w:jc w:val="left"/>
      </w:pPr>
    </w:p>
    <w:tbl>
      <w:tblPr>
        <w:tblStyle w:val="TableGrid"/>
        <w:tblW w:type="auto" w:w="0"/>
        <w:tblLook w:firstColumn="1" w:firstRow="1" w:lastColumn="0" w:lastRow="0" w:noHBand="0" w:noVBand="1" w:val="04A0"/>
      </w:tblPr>
      <w:tblGrid>
        <w:gridCol w:w="9412"/>
      </w:tblGrid>
      <w:tr>
        <w:tc>
          <w:tcPr>
            <w:tcW w:type="dxa" w:w="9412"/>
            <w:shd w:val="clear" w:color="auto" w:fill="E8F7F5"/>
          </w:tcPr>
          <w:p>
            <w:pPr>
              <w:spacing w:before="120" w:after="120" w:line="360" w:lineRule="auto"/>
            </w:pPr>
            <w:r/>
            <w:r>
              <w:rPr>
                <w:rFonts w:ascii="微软雅黑" w:hAnsi="微软雅黑" w:eastAsia="微软雅黑"/>
                <w:b/>
                <w:i w:val="0"/>
                <w:color w:val="0E6E6A"/>
                <w:sz w:val="21"/>
              </w:rPr>
              <w:t>关键设计：合同类型决定后续单据的必填项与校验规则，避免“合同写一套、现场做一套”。</w:t>
            </w:r>
          </w:p>
        </w:tc>
      </w:tr>
    </w:tbl>
    <w:p>
      <w:r>
        <w:br w:type="page"/>
      </w:r>
    </w:p>
    <w:p>
      <w:pPr>
        <w:spacing w:before="360" w:after="80"/>
        <w:pBdr>
          <w:bottom w:val="single" w:sz="10" w:space="4" w:color="0E6E6A"/>
        </w:pBdr>
      </w:pPr>
      <w:r>
        <w:rPr>
          <w:rFonts w:ascii="微软雅黑" w:hAnsi="微软雅黑" w:eastAsia="微软雅黑"/>
          <w:b/>
          <w:i w:val="0"/>
          <w:color w:val="0E6E6A"/>
          <w:sz w:val="36"/>
        </w:rPr>
        <w:t>五  功能全景：15 个菜单分组 · 116 个业务模块</w:t>
      </w:r>
    </w:p>
    <w:p>
      <w:pPr>
        <w:spacing w:before="0" w:after="120" w:line="372" w:lineRule="auto"/>
        <w:jc w:val="left"/>
      </w:pPr>
      <w:r>
        <w:rPr>
          <w:rFonts w:ascii="微软雅黑" w:hAnsi="微软雅黑" w:eastAsia="微软雅黑"/>
          <w:b w:val="0"/>
          <w:i w:val="0"/>
          <w:color w:val="3D5A56"/>
          <w:sz w:val="19"/>
        </w:rPr>
        <w:t>下表与演示系统左侧菜单一一对应，共 116 个业务模块与 14 项系统配置。优先级说明：P0 一期必做，P1 为增强，P2 为可选。</w:t>
      </w:r>
    </w:p>
    <w:tbl>
      <w:tblPr>
        <w:tblStyle w:val="TableGrid"/>
        <w:tblW w:type="auto" w:w="0"/>
        <w:jc w:val="center"/>
        <w:tblLayout w:type="autofit"/>
        <w:tblLook w:firstColumn="1" w:firstRow="1" w:lastColumn="0" w:lastRow="0" w:noHBand="0" w:noVBand="1" w:val="04A0"/>
      </w:tblPr>
      <w:tblGrid>
        <w:gridCol w:w="2353"/>
        <w:gridCol w:w="2353"/>
        <w:gridCol w:w="2353"/>
        <w:gridCol w:w="2353"/>
      </w:tblGrid>
      <w:tr>
        <w:tc>
          <w:tcPr>
            <w:tcW w:type="dxa" w:w="1417"/>
            <w:shd w:val="clear" w:color="auto" w:fill="0E6E6A"/>
          </w:tcPr>
          <w:p>
            <w:pPr>
              <w:spacing w:after="40" w:before="40"/>
              <w:jc w:val="center"/>
            </w:pPr>
            <w:r/>
            <w:r>
              <w:rPr>
                <w:rFonts w:ascii="微软雅黑" w:hAnsi="微软雅黑" w:eastAsia="微软雅黑"/>
                <w:b/>
                <w:i w:val="0"/>
                <w:color w:val="FFFFFF"/>
                <w:sz w:val="16"/>
              </w:rPr>
              <w:t>分组</w:t>
            </w:r>
          </w:p>
        </w:tc>
        <w:tc>
          <w:tcPr>
            <w:tcW w:type="dxa" w:w="1928"/>
            <w:shd w:val="clear" w:color="auto" w:fill="0E6E6A"/>
          </w:tcPr>
          <w:p>
            <w:pPr>
              <w:spacing w:after="40" w:before="40"/>
              <w:jc w:val="center"/>
            </w:pPr>
            <w:r/>
            <w:r>
              <w:rPr>
                <w:rFonts w:ascii="微软雅黑" w:hAnsi="微软雅黑" w:eastAsia="微软雅黑"/>
                <w:b/>
                <w:i w:val="0"/>
                <w:color w:val="FFFFFF"/>
                <w:sz w:val="16"/>
              </w:rPr>
              <w:t>模块</w:t>
            </w:r>
          </w:p>
        </w:tc>
        <w:tc>
          <w:tcPr>
            <w:tcW w:type="dxa" w:w="5216"/>
            <w:shd w:val="clear" w:color="auto" w:fill="0E6E6A"/>
          </w:tcPr>
          <w:p>
            <w:pPr>
              <w:spacing w:after="40" w:before="40"/>
              <w:jc w:val="center"/>
            </w:pPr>
            <w:r/>
            <w:r>
              <w:rPr>
                <w:rFonts w:ascii="微软雅黑" w:hAnsi="微软雅黑" w:eastAsia="微软雅黑"/>
                <w:b/>
                <w:i w:val="0"/>
                <w:color w:val="FFFFFF"/>
                <w:sz w:val="16"/>
              </w:rPr>
              <w:t>说明</w:t>
            </w:r>
          </w:p>
        </w:tc>
        <w:tc>
          <w:tcPr>
            <w:tcW w:type="dxa" w:w="737"/>
            <w:shd w:val="clear" w:color="auto" w:fill="0E6E6A"/>
          </w:tcPr>
          <w:p>
            <w:pPr>
              <w:spacing w:after="40" w:before="40"/>
              <w:jc w:val="center"/>
            </w:pPr>
            <w:r/>
            <w:r>
              <w:rPr>
                <w:rFonts w:ascii="微软雅黑" w:hAnsi="微软雅黑" w:eastAsia="微软雅黑"/>
                <w:b/>
                <w:i w:val="0"/>
                <w:color w:val="FFFFFF"/>
                <w:sz w:val="16"/>
              </w:rPr>
              <w:t>级</w:t>
            </w:r>
          </w:p>
        </w:tc>
      </w:tr>
      <w:tr>
        <w:tc>
          <w:tcPr>
            <w:tcW w:type="dxa" w:w="1417"/>
          </w:tcPr>
          <w:p>
            <w:pPr>
              <w:spacing w:after="40" w:before="40" w:line="300" w:lineRule="auto"/>
            </w:pPr>
            <w:r/>
            <w:r>
              <w:rPr>
                <w:rFonts w:ascii="微软雅黑" w:hAnsi="微软雅黑" w:eastAsia="微软雅黑"/>
                <w:b w:val="0"/>
                <w:i w:val="0"/>
                <w:color w:val="102826"/>
                <w:sz w:val="15"/>
              </w:rPr>
              <w:t>总览</w:t>
            </w:r>
          </w:p>
        </w:tc>
        <w:tc>
          <w:tcPr>
            <w:tcW w:type="dxa" w:w="1928"/>
          </w:tcPr>
          <w:p>
            <w:pPr>
              <w:spacing w:after="40" w:before="40" w:line="300" w:lineRule="auto"/>
            </w:pPr>
            <w:r/>
            <w:r>
              <w:rPr>
                <w:rFonts w:ascii="微软雅黑" w:hAnsi="微软雅黑" w:eastAsia="微软雅黑"/>
                <w:b w:val="0"/>
                <w:i w:val="0"/>
                <w:color w:val="102826"/>
                <w:sz w:val="15"/>
              </w:rPr>
              <w:t>经营驾驶舱</w:t>
            </w:r>
          </w:p>
        </w:tc>
        <w:tc>
          <w:tcPr>
            <w:tcW w:type="dxa" w:w="5216"/>
          </w:tcPr>
          <w:p>
            <w:pPr>
              <w:spacing w:after="40" w:before="40" w:line="300" w:lineRule="auto"/>
            </w:pPr>
            <w:r/>
            <w:r>
              <w:rPr>
                <w:rFonts w:ascii="微软雅黑" w:hAnsi="微软雅黑" w:eastAsia="微软雅黑"/>
                <w:b w:val="0"/>
                <w:i w:val="0"/>
                <w:color w:val="102826"/>
                <w:sz w:val="15"/>
              </w:rPr>
              <w:t>收入按台班作业日归集、剔除有争议台班，成本拆油料、维修、人工与折旧，项目与设备毛利一屏看完，闲置损失按参考日租金折算。</w:t>
            </w:r>
          </w:p>
        </w:tc>
        <w:tc>
          <w:tcPr>
            <w:tcW w:type="dxa" w:w="737"/>
          </w:tcPr>
          <w:p>
            <w:pPr>
              <w:spacing w:after="40" w:before="40" w:line="300" w:lineRule="auto"/>
            </w:pPr>
            <w:r/>
            <w:r>
              <w:rPr>
                <w:rFonts w:ascii="微软雅黑" w:hAnsi="微软雅黑" w:eastAsia="微软雅黑"/>
                <w:b w:val="0"/>
                <w:i w:val="0"/>
                <w:color w:val="102826"/>
                <w:sz w:val="15"/>
              </w:rPr>
              <w:t>P1</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基础资料</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设备分类</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按土方、起重、混凝土、路面、桩工、运输等施工用途分类，分类决定默认计价方式与所需证照。</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基础资料</w:t>
            </w:r>
          </w:p>
        </w:tc>
        <w:tc>
          <w:tcPr>
            <w:tcW w:type="dxa" w:w="1928"/>
          </w:tcPr>
          <w:p>
            <w:pPr>
              <w:spacing w:after="40" w:before="40" w:line="300" w:lineRule="auto"/>
            </w:pPr>
            <w:r/>
            <w:r>
              <w:rPr>
                <w:rFonts w:ascii="微软雅黑" w:hAnsi="微软雅黑" w:eastAsia="微软雅黑"/>
                <w:b w:val="0"/>
                <w:i w:val="0"/>
                <w:color w:val="102826"/>
                <w:sz w:val="15"/>
              </w:rPr>
              <w:t>品牌档案</w:t>
            </w:r>
          </w:p>
        </w:tc>
        <w:tc>
          <w:tcPr>
            <w:tcW w:type="dxa" w:w="5216"/>
          </w:tcPr>
          <w:p>
            <w:pPr>
              <w:spacing w:after="40" w:before="40" w:line="300" w:lineRule="auto"/>
            </w:pPr>
            <w:r/>
            <w:r>
              <w:rPr>
                <w:rFonts w:ascii="微软雅黑" w:hAnsi="微软雅黑" w:eastAsia="微软雅黑"/>
                <w:b w:val="0"/>
                <w:i w:val="0"/>
                <w:color w:val="102826"/>
                <w:sz w:val="15"/>
              </w:rPr>
              <w:t>三一、徐工、中联、柳工等品牌统一建档，服务网点与常用机型一并维护。</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基础资料</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品牌型号</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维护各型号标准台班价与月租参考价，报价与合同取价以它为基准，避免一人一价。</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基础资料</w:t>
            </w:r>
          </w:p>
        </w:tc>
        <w:tc>
          <w:tcPr>
            <w:tcW w:type="dxa" w:w="1928"/>
          </w:tcPr>
          <w:p>
            <w:pPr>
              <w:spacing w:after="40" w:before="40" w:line="300" w:lineRule="auto"/>
            </w:pPr>
            <w:r/>
            <w:r>
              <w:rPr>
                <w:rFonts w:ascii="微软雅黑" w:hAnsi="微软雅黑" w:eastAsia="微软雅黑"/>
                <w:b w:val="0"/>
                <w:i w:val="0"/>
                <w:color w:val="102826"/>
                <w:sz w:val="15"/>
              </w:rPr>
              <w:t>客户档案</w:t>
            </w:r>
          </w:p>
        </w:tc>
        <w:tc>
          <w:tcPr>
            <w:tcW w:type="dxa" w:w="5216"/>
          </w:tcPr>
          <w:p>
            <w:pPr>
              <w:spacing w:after="40" w:before="40" w:line="300" w:lineRule="auto"/>
            </w:pPr>
            <w:r/>
            <w:r>
              <w:rPr>
                <w:rFonts w:ascii="微软雅黑" w:hAnsi="微软雅黑" w:eastAsia="微软雅黑"/>
                <w:b w:val="0"/>
                <w:i w:val="0"/>
                <w:color w:val="102826"/>
                <w:sz w:val="15"/>
              </w:rPr>
              <w:t>央企项目部、国企施工单位、民营施工队分级建档，含信用额度、结算习惯与开票资料。</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基础资料</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法人主体</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集团多执照分别建主体，项目、设备、合同与结算按主体归属，支撑分主体损益与合并报表。</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基础资料</w:t>
            </w:r>
          </w:p>
        </w:tc>
        <w:tc>
          <w:tcPr>
            <w:tcW w:type="dxa" w:w="1928"/>
          </w:tcPr>
          <w:p>
            <w:pPr>
              <w:spacing w:after="40" w:before="40" w:line="300" w:lineRule="auto"/>
            </w:pPr>
            <w:r/>
            <w:r>
              <w:rPr>
                <w:rFonts w:ascii="微软雅黑" w:hAnsi="微软雅黑" w:eastAsia="微软雅黑"/>
                <w:b w:val="0"/>
                <w:i w:val="0"/>
                <w:color w:val="102826"/>
                <w:sz w:val="15"/>
              </w:rPr>
              <w:t>项目工地</w:t>
            </w:r>
          </w:p>
        </w:tc>
        <w:tc>
          <w:tcPr>
            <w:tcW w:type="dxa" w:w="5216"/>
          </w:tcPr>
          <w:p>
            <w:pPr>
              <w:spacing w:after="40" w:before="40" w:line="300" w:lineRule="auto"/>
            </w:pPr>
            <w:r/>
            <w:r>
              <w:rPr>
                <w:rFonts w:ascii="微软雅黑" w:hAnsi="微软雅黑" w:eastAsia="微软雅黑"/>
                <w:b w:val="0"/>
                <w:i w:val="0"/>
                <w:color w:val="102826"/>
                <w:sz w:val="15"/>
              </w:rPr>
              <w:t>项目是成本归集与调度主维度：台班、结算、费用、加油、维修全部挂项目，一项目一本账。</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基础资料</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供应商档案</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油料、配件、运输、维修外协统一建档，结算方式、资质与往来余额一并留存。</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基础资料</w:t>
            </w:r>
          </w:p>
        </w:tc>
        <w:tc>
          <w:tcPr>
            <w:tcW w:type="dxa" w:w="1928"/>
          </w:tcPr>
          <w:p>
            <w:pPr>
              <w:spacing w:after="40" w:before="40" w:line="300" w:lineRule="auto"/>
            </w:pPr>
            <w:r/>
            <w:r>
              <w:rPr>
                <w:rFonts w:ascii="微软雅黑" w:hAnsi="微软雅黑" w:eastAsia="微软雅黑"/>
                <w:b w:val="0"/>
                <w:i w:val="0"/>
                <w:color w:val="102826"/>
                <w:sz w:val="15"/>
              </w:rPr>
              <w:t>合作方档案</w:t>
            </w:r>
          </w:p>
        </w:tc>
        <w:tc>
          <w:tcPr>
            <w:tcW w:type="dxa" w:w="5216"/>
          </w:tcPr>
          <w:p>
            <w:pPr>
              <w:spacing w:after="40" w:before="40" w:line="300" w:lineRule="auto"/>
            </w:pPr>
            <w:r/>
            <w:r>
              <w:rPr>
                <w:rFonts w:ascii="微软雅黑" w:hAnsi="微软雅黑" w:eastAsia="微软雅黑"/>
                <w:b w:val="0"/>
                <w:i w:val="0"/>
                <w:color w:val="102826"/>
                <w:sz w:val="15"/>
              </w:rPr>
              <w:t>挂靠方、资金方与合作经营方集中维护，协议与分成在「合作经营」中管理。</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设备资产</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设备台账</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一机一档一码：产权、当前项目、责任机手、累计台时与健康分集中在同一张设备卡，扫码直达该设备全部业务。</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设备资产</w:t>
            </w:r>
          </w:p>
        </w:tc>
        <w:tc>
          <w:tcPr>
            <w:tcW w:type="dxa" w:w="1928"/>
          </w:tcPr>
          <w:p>
            <w:pPr>
              <w:spacing w:after="40" w:before="40" w:line="300" w:lineRule="auto"/>
            </w:pPr>
            <w:r/>
            <w:r>
              <w:rPr>
                <w:rFonts w:ascii="微软雅黑" w:hAnsi="微软雅黑" w:eastAsia="微软雅黑"/>
                <w:b w:val="0"/>
                <w:i w:val="0"/>
                <w:color w:val="102826"/>
                <w:sz w:val="15"/>
              </w:rPr>
              <w:t>产权与资金</w:t>
            </w:r>
          </w:p>
        </w:tc>
        <w:tc>
          <w:tcPr>
            <w:tcW w:type="dxa" w:w="5216"/>
          </w:tcPr>
          <w:p>
            <w:pPr>
              <w:spacing w:after="40" w:before="40" w:line="300" w:lineRule="auto"/>
            </w:pPr>
            <w:r/>
            <w:r>
              <w:rPr>
                <w:rFonts w:ascii="微软雅黑" w:hAnsi="微软雅黑" w:eastAsia="微软雅黑"/>
                <w:b w:val="0"/>
                <w:i w:val="0"/>
                <w:color w:val="102826"/>
                <w:sz w:val="15"/>
              </w:rPr>
              <w:t>融资租赁、分期、抵押等设备资金来源与还款计划，剩余本金直接进入单机核算。</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设备资产</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物联终端</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一机一终端，终端号全局唯一；换机先停旧再绑新，防止台时与定位串号。</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设备资产</w:t>
            </w:r>
          </w:p>
        </w:tc>
        <w:tc>
          <w:tcPr>
            <w:tcW w:type="dxa" w:w="1928"/>
          </w:tcPr>
          <w:p>
            <w:pPr>
              <w:spacing w:after="40" w:before="40" w:line="300" w:lineRule="auto"/>
            </w:pPr>
            <w:r/>
            <w:r>
              <w:rPr>
                <w:rFonts w:ascii="微软雅黑" w:hAnsi="微软雅黑" w:eastAsia="微软雅黑"/>
                <w:b w:val="0"/>
                <w:i w:val="0"/>
                <w:color w:val="102826"/>
                <w:sz w:val="15"/>
              </w:rPr>
              <w:t>定位与工时</w:t>
            </w:r>
          </w:p>
        </w:tc>
        <w:tc>
          <w:tcPr>
            <w:tcW w:type="dxa" w:w="5216"/>
          </w:tcPr>
          <w:p>
            <w:pPr>
              <w:spacing w:after="40" w:before="40" w:line="300" w:lineRule="auto"/>
            </w:pPr>
            <w:r/>
            <w:r>
              <w:rPr>
                <w:rFonts w:ascii="微软雅黑" w:hAnsi="微软雅黑" w:eastAsia="微软雅黑"/>
                <w:b w:val="0"/>
                <w:i w:val="0"/>
                <w:color w:val="102826"/>
                <w:sz w:val="15"/>
              </w:rPr>
              <w:t>GPS 与工时盒子日报：在线状态、当日台时、怠速时长与位置，用于核对台班、查找闲置设备。</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设备资产</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物联上报日志</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每次物联上报都留痕，成功、重复、未绑定、停用与异常均可追溯，盒子离线能定位到具体设备。</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P1</w:t>
            </w:r>
          </w:p>
        </w:tc>
      </w:tr>
      <w:tr>
        <w:tc>
          <w:tcPr>
            <w:tcW w:type="dxa" w:w="1417"/>
          </w:tcPr>
          <w:p>
            <w:pPr>
              <w:spacing w:after="40" w:before="40" w:line="300" w:lineRule="auto"/>
            </w:pPr>
            <w:r/>
            <w:r>
              <w:rPr>
                <w:rFonts w:ascii="微软雅黑" w:hAnsi="微软雅黑" w:eastAsia="微软雅黑"/>
                <w:b w:val="0"/>
                <w:i w:val="0"/>
                <w:color w:val="102826"/>
                <w:sz w:val="15"/>
              </w:rPr>
              <w:t>设备资产</w:t>
            </w:r>
          </w:p>
        </w:tc>
        <w:tc>
          <w:tcPr>
            <w:tcW w:type="dxa" w:w="1928"/>
          </w:tcPr>
          <w:p>
            <w:pPr>
              <w:spacing w:after="40" w:before="40" w:line="300" w:lineRule="auto"/>
            </w:pPr>
            <w:r/>
            <w:r>
              <w:rPr>
                <w:rFonts w:ascii="微软雅黑" w:hAnsi="微软雅黑" w:eastAsia="微软雅黑"/>
                <w:b w:val="0"/>
                <w:i w:val="0"/>
                <w:color w:val="102826"/>
                <w:sz w:val="15"/>
              </w:rPr>
              <w:t>设备调拨</w:t>
            </w:r>
          </w:p>
        </w:tc>
        <w:tc>
          <w:tcPr>
            <w:tcW w:type="dxa" w:w="5216"/>
          </w:tcPr>
          <w:p>
            <w:pPr>
              <w:spacing w:after="40" w:before="40" w:line="300" w:lineRule="auto"/>
            </w:pPr>
            <w:r/>
            <w:r>
              <w:rPr>
                <w:rFonts w:ascii="微软雅黑" w:hAnsi="微软雅黑" w:eastAsia="微软雅黑"/>
                <w:b w:val="0"/>
                <w:i w:val="0"/>
                <w:color w:val="102826"/>
                <w:sz w:val="15"/>
              </w:rPr>
              <w:t>项目间直接转场不回收仓库，运输费按受益项目分摊，避免成本串项。</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设备资产</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设备交接</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进退场必做交接：油量、台时、里程、随车配件与外观拍照，双方签字后生效，是台班争议的第一道证据。</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设备资产</w:t>
            </w:r>
          </w:p>
        </w:tc>
        <w:tc>
          <w:tcPr>
            <w:tcW w:type="dxa" w:w="1928"/>
          </w:tcPr>
          <w:p>
            <w:pPr>
              <w:spacing w:after="40" w:before="40" w:line="300" w:lineRule="auto"/>
            </w:pPr>
            <w:r/>
            <w:r>
              <w:rPr>
                <w:rFonts w:ascii="微软雅黑" w:hAnsi="微软雅黑" w:eastAsia="微软雅黑"/>
                <w:b w:val="0"/>
                <w:i w:val="0"/>
                <w:color w:val="102826"/>
                <w:sz w:val="15"/>
              </w:rPr>
              <w:t>证照与检验</w:t>
            </w:r>
          </w:p>
        </w:tc>
        <w:tc>
          <w:tcPr>
            <w:tcW w:type="dxa" w:w="5216"/>
          </w:tcPr>
          <w:p>
            <w:pPr>
              <w:spacing w:after="40" w:before="40" w:line="300" w:lineRule="auto"/>
            </w:pPr>
            <w:r/>
            <w:r>
              <w:rPr>
                <w:rFonts w:ascii="微软雅黑" w:hAnsi="微软雅黑" w:eastAsia="微软雅黑"/>
                <w:b w:val="0"/>
                <w:i w:val="0"/>
                <w:color w:val="102826"/>
                <w:sz w:val="15"/>
              </w:rPr>
              <w:t>特种设备使用登记、定期检验、环保编码到期前 30 天预警，缺证不得进场作业。</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设备资产</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保险台账</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交强险、商业险、机损险按设备与保期登记，续保提醒与保额缺口一目了然。</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设备资产</w:t>
            </w:r>
          </w:p>
        </w:tc>
        <w:tc>
          <w:tcPr>
            <w:tcW w:type="dxa" w:w="1928"/>
          </w:tcPr>
          <w:p>
            <w:pPr>
              <w:spacing w:after="40" w:before="40" w:line="300" w:lineRule="auto"/>
            </w:pPr>
            <w:r/>
            <w:r>
              <w:rPr>
                <w:rFonts w:ascii="微软雅黑" w:hAnsi="微软雅黑" w:eastAsia="微软雅黑"/>
                <w:b w:val="0"/>
                <w:i w:val="0"/>
                <w:color w:val="102826"/>
                <w:sz w:val="15"/>
              </w:rPr>
              <w:t>出险理赔</w:t>
            </w:r>
          </w:p>
        </w:tc>
        <w:tc>
          <w:tcPr>
            <w:tcW w:type="dxa" w:w="5216"/>
          </w:tcPr>
          <w:p>
            <w:pPr>
              <w:spacing w:after="40" w:before="40" w:line="300" w:lineRule="auto"/>
            </w:pPr>
            <w:r/>
            <w:r>
              <w:rPr>
                <w:rFonts w:ascii="微软雅黑" w:hAnsi="微软雅黑" w:eastAsia="微软雅黑"/>
                <w:b w:val="0"/>
                <w:i w:val="0"/>
                <w:color w:val="102826"/>
                <w:sz w:val="15"/>
              </w:rPr>
              <w:t>一单一档走完事故理赔全流程：出险时间地点与责任方初判、维修费 / 第三方物损 / 施救费定损、保单责任与赔付比例、核定赔付与实收差额、停机等间接损失一并计入事故成本；自担损失生成「事故损失」费用单进入项目成本归集与单机核算，理赔款与追偿回冲对应设备成本。</w:t>
            </w:r>
          </w:p>
        </w:tc>
        <w:tc>
          <w:tcPr>
            <w:tcW w:type="dxa" w:w="737"/>
          </w:tcPr>
          <w:p>
            <w:pPr>
              <w:spacing w:after="40" w:before="40" w:line="300" w:lineRule="auto"/>
            </w:pPr>
            <w:r/>
            <w:r>
              <w:rPr>
                <w:rFonts w:ascii="微软雅黑" w:hAnsi="微软雅黑" w:eastAsia="微软雅黑"/>
                <w:b w:val="0"/>
                <w:i w:val="0"/>
                <w:color w:val="102826"/>
                <w:sz w:val="15"/>
              </w:rPr>
              <w:t>P1</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设备资产</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报废处置</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报废处置：设备资产基础档案维护。</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设备资产</w:t>
            </w:r>
          </w:p>
        </w:tc>
        <w:tc>
          <w:tcPr>
            <w:tcW w:type="dxa" w:w="1928"/>
          </w:tcPr>
          <w:p>
            <w:pPr>
              <w:spacing w:after="40" w:before="40" w:line="300" w:lineRule="auto"/>
            </w:pPr>
            <w:r/>
            <w:r>
              <w:rPr>
                <w:rFonts w:ascii="微软雅黑" w:hAnsi="微软雅黑" w:eastAsia="微软雅黑"/>
                <w:b w:val="0"/>
                <w:i w:val="0"/>
                <w:color w:val="102826"/>
                <w:sz w:val="15"/>
              </w:rPr>
              <w:t>事故理赔中心</w:t>
            </w:r>
          </w:p>
        </w:tc>
        <w:tc>
          <w:tcPr>
            <w:tcW w:type="dxa" w:w="5216"/>
          </w:tcPr>
          <w:p>
            <w:pPr>
              <w:spacing w:after="40" w:before="40" w:line="300" w:lineRule="auto"/>
            </w:pPr>
            <w:r/>
            <w:r>
              <w:rPr>
                <w:rFonts w:ascii="微软雅黑" w:hAnsi="微软雅黑" w:eastAsia="微软雅黑"/>
                <w:b w:val="0"/>
                <w:i w:val="0"/>
                <w:color w:val="102826"/>
                <w:sz w:val="15"/>
              </w:rPr>
              <w:t>设备事故从报案、定损、提交理赔、到账登记到自担损失分摊入账一条线走完：索赔额按「直接损失 × 赔付比例 − 免赔额」自动核算，核定赔付与实收分开登记，超 30 天未到账单自动催办；客户责任可转停复工单走工期顺延，我方责任走停机减免，事故损坏可一键生成本机报修单；逆向按「结案 → 分摊 → 到账 → 提交 → 报案」逐级回退。</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合同管理</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租赁报价</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10 种计价方式出多版本报价，按型号、租期与工况快速试算，版本可对比、可追溯。</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合同管理</w:t>
            </w:r>
          </w:p>
        </w:tc>
        <w:tc>
          <w:tcPr>
            <w:tcW w:type="dxa" w:w="1928"/>
          </w:tcPr>
          <w:p>
            <w:pPr>
              <w:spacing w:after="40" w:before="40" w:line="300" w:lineRule="auto"/>
            </w:pPr>
            <w:r/>
            <w:r>
              <w:rPr>
                <w:rFonts w:ascii="微软雅黑" w:hAnsi="微软雅黑" w:eastAsia="微软雅黑"/>
                <w:b w:val="0"/>
                <w:i w:val="0"/>
                <w:color w:val="102826"/>
                <w:sz w:val="15"/>
              </w:rPr>
              <w:t>租赁合同</w:t>
            </w:r>
          </w:p>
        </w:tc>
        <w:tc>
          <w:tcPr>
            <w:tcW w:type="dxa" w:w="5216"/>
          </w:tcPr>
          <w:p>
            <w:pPr>
              <w:spacing w:after="40" w:before="40" w:line="300" w:lineRule="auto"/>
            </w:pPr>
            <w:r/>
            <w:r>
              <w:rPr>
                <w:rFonts w:ascii="微软雅黑" w:hAnsi="微软雅黑" w:eastAsia="微软雅黑"/>
                <w:b w:val="0"/>
                <w:i w:val="0"/>
                <w:color w:val="102826"/>
                <w:sz w:val="15"/>
              </w:rPr>
              <w:t>纯租赁、带人施工、一体化三类合同模板，条款与计价分离管理，到期与续签自动提醒。</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合同管理</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计价条款</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一个合同多行计价：不同设备、不同工序可分别定价，并约定最低台时与超时单价。</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合同管理</w:t>
            </w:r>
          </w:p>
        </w:tc>
        <w:tc>
          <w:tcPr>
            <w:tcW w:type="dxa" w:w="1928"/>
          </w:tcPr>
          <w:p>
            <w:pPr>
              <w:spacing w:after="40" w:before="40" w:line="300" w:lineRule="auto"/>
            </w:pPr>
            <w:r/>
            <w:r>
              <w:rPr>
                <w:rFonts w:ascii="微软雅黑" w:hAnsi="微软雅黑" w:eastAsia="微软雅黑"/>
                <w:b w:val="0"/>
                <w:i w:val="0"/>
                <w:color w:val="102826"/>
                <w:sz w:val="15"/>
              </w:rPr>
              <w:t>合同变更</w:t>
            </w:r>
          </w:p>
        </w:tc>
        <w:tc>
          <w:tcPr>
            <w:tcW w:type="dxa" w:w="5216"/>
          </w:tcPr>
          <w:p>
            <w:pPr>
              <w:spacing w:after="40" w:before="40" w:line="300" w:lineRule="auto"/>
            </w:pPr>
            <w:r/>
            <w:r>
              <w:rPr>
                <w:rFonts w:ascii="微软雅黑" w:hAnsi="微软雅黑" w:eastAsia="微软雅黑"/>
                <w:b w:val="0"/>
                <w:i w:val="0"/>
                <w:color w:val="102826"/>
                <w:sz w:val="15"/>
              </w:rPr>
              <w:t>合同变更 / 续签 / 工期顺延单一处留痕：原到期日、新到期日、变更原因与审批状态同单可查；工期顺延由客户签认签证或停工单转入，驳回与撤销都保留链路。</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合同管理</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工期与交期台账</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工期与交期台账：客户签认的工期签证一键转工期顺延单，审批通过后合同到期日按天顺延、未验收交付单计划日同步后移并累加顺延天数（保留原计划日）；在途与已到场不追溯改动，撤销可按天回滚到期日与交付计划；台账给出顺延合计、逾期交付与待转化签证四块统计。</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合同管理</w:t>
            </w:r>
          </w:p>
        </w:tc>
        <w:tc>
          <w:tcPr>
            <w:tcW w:type="dxa" w:w="1928"/>
          </w:tcPr>
          <w:p>
            <w:pPr>
              <w:spacing w:after="40" w:before="40" w:line="300" w:lineRule="auto"/>
            </w:pPr>
            <w:r/>
            <w:r>
              <w:rPr>
                <w:rFonts w:ascii="微软雅黑" w:hAnsi="微软雅黑" w:eastAsia="微软雅黑"/>
                <w:b w:val="0"/>
                <w:i w:val="0"/>
                <w:color w:val="102826"/>
                <w:sz w:val="15"/>
              </w:rPr>
              <w:t>合同到期预警</w:t>
            </w:r>
          </w:p>
        </w:tc>
        <w:tc>
          <w:tcPr>
            <w:tcW w:type="dxa" w:w="5216"/>
          </w:tcPr>
          <w:p>
            <w:pPr>
              <w:spacing w:after="40" w:before="40" w:line="300" w:lineRule="auto"/>
            </w:pPr>
            <w:r/>
            <w:r>
              <w:rPr>
                <w:rFonts w:ascii="微软雅黑" w:hAnsi="微软雅黑" w:eastAsia="微软雅黑"/>
                <w:b w:val="0"/>
                <w:i w:val="0"/>
                <w:color w:val="102826"/>
                <w:sz w:val="15"/>
              </w:rPr>
              <w:t>90 天内到期与已过期合同按剩余天数排序，提前安排续签或退场。</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合同管理</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电子签章</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客户用手机/电脑在门户手写签名，系统同时固化「文件快照 + SHA-256 指纹 + 时间 + IP」，任何一方改单都能被校验出来。</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合同管理</w:t>
            </w:r>
          </w:p>
        </w:tc>
        <w:tc>
          <w:tcPr>
            <w:tcW w:type="dxa" w:w="1928"/>
          </w:tcPr>
          <w:p>
            <w:pPr>
              <w:spacing w:after="40" w:before="40" w:line="300" w:lineRule="auto"/>
            </w:pPr>
            <w:r/>
            <w:r>
              <w:rPr>
                <w:rFonts w:ascii="微软雅黑" w:hAnsi="微软雅黑" w:eastAsia="微软雅黑"/>
                <w:b w:val="0"/>
                <w:i w:val="0"/>
                <w:color w:val="102826"/>
                <w:sz w:val="15"/>
              </w:rPr>
              <w:t>挂靠协议</w:t>
            </w:r>
          </w:p>
        </w:tc>
        <w:tc>
          <w:tcPr>
            <w:tcW w:type="dxa" w:w="5216"/>
          </w:tcPr>
          <w:p>
            <w:pPr>
              <w:spacing w:after="40" w:before="40" w:line="300" w:lineRule="auto"/>
            </w:pPr>
            <w:r/>
            <w:r>
              <w:rPr>
                <w:rFonts w:ascii="微软雅黑" w:hAnsi="微软雅黑" w:eastAsia="微软雅黑"/>
                <w:b w:val="0"/>
                <w:i w:val="0"/>
                <w:color w:val="102826"/>
                <w:sz w:val="15"/>
              </w:rPr>
              <w:t>挂靠设备权属与税费责任必须写清：管理费率、税费承担方、保险与事故责任。</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合同管理</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分成结算</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分成结算：合同管理基础档案维护。</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交付与调度</w:t>
            </w:r>
          </w:p>
        </w:tc>
        <w:tc>
          <w:tcPr>
            <w:tcW w:type="dxa" w:w="1928"/>
          </w:tcPr>
          <w:p>
            <w:pPr>
              <w:spacing w:after="40" w:before="40" w:line="300" w:lineRule="auto"/>
            </w:pPr>
            <w:r/>
            <w:r>
              <w:rPr>
                <w:rFonts w:ascii="微软雅黑" w:hAnsi="微软雅黑" w:eastAsia="微软雅黑"/>
                <w:b w:val="0"/>
                <w:i w:val="0"/>
                <w:color w:val="102826"/>
                <w:sz w:val="15"/>
              </w:rPr>
              <w:t>设备调度</w:t>
            </w:r>
          </w:p>
        </w:tc>
        <w:tc>
          <w:tcPr>
            <w:tcW w:type="dxa" w:w="5216"/>
          </w:tcPr>
          <w:p>
            <w:pPr>
              <w:spacing w:after="40" w:before="40" w:line="300" w:lineRule="auto"/>
            </w:pPr>
            <w:r/>
            <w:r>
              <w:rPr>
                <w:rFonts w:ascii="微软雅黑" w:hAnsi="微软雅黑" w:eastAsia="微软雅黑"/>
                <w:b w:val="0"/>
                <w:i w:val="0"/>
                <w:color w:val="102826"/>
                <w:sz w:val="15"/>
              </w:rPr>
              <w:t>进场、退场、项目间转场一张单，运输费、安拆费与调度工时一并记录。</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交付与调度</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外协单位</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外协合格供方名录：信用代码、执照与保险到期、持证操作手、账期税率一档到底；黑名单、暂停合作与证照过期直接拦住定标，履约评级按质量 40%、停机 25%、中标率 20%、规模 15% 自动打分。</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交付与调度</w:t>
            </w:r>
          </w:p>
        </w:tc>
        <w:tc>
          <w:tcPr>
            <w:tcW w:type="dxa" w:w="1928"/>
          </w:tcPr>
          <w:p>
            <w:pPr>
              <w:spacing w:after="40" w:before="40" w:line="300" w:lineRule="auto"/>
            </w:pPr>
            <w:r/>
            <w:r>
              <w:rPr>
                <w:rFonts w:ascii="微软雅黑" w:hAnsi="微软雅黑" w:eastAsia="微软雅黑"/>
                <w:b w:val="0"/>
                <w:i w:val="0"/>
                <w:color w:val="102826"/>
                <w:sz w:val="15"/>
              </w:rPr>
              <w:t>外协询价</w:t>
            </w:r>
          </w:p>
        </w:tc>
        <w:tc>
          <w:tcPr>
            <w:tcW w:type="dxa" w:w="5216"/>
          </w:tcPr>
          <w:p>
            <w:pPr>
              <w:spacing w:after="40" w:before="40" w:line="300" w:lineRule="auto"/>
            </w:pPr>
            <w:r/>
            <w:r>
              <w:rPr>
                <w:rFonts w:ascii="微软雅黑" w:hAnsi="微软雅黑" w:eastAsia="微软雅黑"/>
                <w:b w:val="0"/>
                <w:i w:val="0"/>
                <w:color w:val="102826"/>
                <w:sz w:val="15"/>
              </w:rPr>
              <w:t>自有运力排不上时一条需求一张询价单，可同时向多家外协单位询价；回价逐条回收自动比目标价，AI 按价格 70%、进场 20%、履约 10% 推荐中标，定标后进场单与成本自动接上。</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交付与调度</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外协进场</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外协设备不进自有台账，用进场单承载现场履约：进场、报工、停机扣款、验收评分与结算一条线，退场计暂估成本、结算转正式成本，并自动生成应付进财务付款；退场即签发带存证码与 SHA-256 指纹的退场签认单，可扫码验真、A4 打印。</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交付与调度</w:t>
            </w:r>
          </w:p>
        </w:tc>
        <w:tc>
          <w:tcPr>
            <w:tcW w:type="dxa" w:w="1928"/>
          </w:tcPr>
          <w:p>
            <w:pPr>
              <w:spacing w:after="40" w:before="40" w:line="300" w:lineRule="auto"/>
            </w:pPr>
            <w:r/>
            <w:r>
              <w:rPr>
                <w:rFonts w:ascii="微软雅黑" w:hAnsi="微软雅黑" w:eastAsia="微软雅黑"/>
                <w:b w:val="0"/>
                <w:i w:val="0"/>
                <w:color w:val="102826"/>
                <w:sz w:val="15"/>
              </w:rPr>
              <w:t>外协日报</w:t>
            </w:r>
          </w:p>
        </w:tc>
        <w:tc>
          <w:tcPr>
            <w:tcW w:type="dxa" w:w="5216"/>
          </w:tcPr>
          <w:p>
            <w:pPr>
              <w:spacing w:after="40" w:before="40" w:line="300" w:lineRule="auto"/>
            </w:pPr>
            <w:r/>
            <w:r>
              <w:rPr>
                <w:rFonts w:ascii="微软雅黑" w:hAnsi="微软雅黑" w:eastAsia="微软雅黑"/>
                <w:b w:val="0"/>
                <w:i w:val="0"/>
                <w:color w:val="102826"/>
                <w:sz w:val="15"/>
              </w:rPr>
              <w:t>现场逐日填报作业台时、停机台时与停机原因，手机端带照片与 GPS 打卡、可离线补录；同一进场单同一天只留一张（重复提交按更新），单日作业 + 停机不超 24 小时，未来日期与进场前日期直接拦住。作业天数按有日报的自然日计数、停机天数按台时 ÷ 8 折算，退场报工时自动带出建议值，主管「已报工 → 已确认」复核，退场后只读、要改先撤销退场。</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交付与调度</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进退场运输</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平板车、爬梯车运输记录，按趟结算。</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交付与调度</w:t>
            </w:r>
          </w:p>
        </w:tc>
        <w:tc>
          <w:tcPr>
            <w:tcW w:type="dxa" w:w="1928"/>
          </w:tcPr>
          <w:p>
            <w:pPr>
              <w:spacing w:after="40" w:before="40" w:line="300" w:lineRule="auto"/>
            </w:pPr>
            <w:r/>
            <w:r>
              <w:rPr>
                <w:rFonts w:ascii="微软雅黑" w:hAnsi="微软雅黑" w:eastAsia="微软雅黑"/>
                <w:b w:val="0"/>
                <w:i w:val="0"/>
                <w:color w:val="102826"/>
                <w:sz w:val="15"/>
              </w:rPr>
              <w:t>交付单</w:t>
            </w:r>
          </w:p>
        </w:tc>
        <w:tc>
          <w:tcPr>
            <w:tcW w:type="dxa" w:w="5216"/>
          </w:tcPr>
          <w:p>
            <w:pPr>
              <w:spacing w:after="40" w:before="40" w:line="300" w:lineRule="auto"/>
            </w:pPr>
            <w:r/>
            <w:r>
              <w:rPr>
                <w:rFonts w:ascii="微软雅黑" w:hAnsi="微软雅黑" w:eastAsia="微软雅黑"/>
                <w:b w:val="0"/>
                <w:i w:val="0"/>
                <w:color w:val="102826"/>
                <w:sz w:val="15"/>
              </w:rPr>
              <w:t>交付计划盯住距交货天数与约定交货日，逾期必须填原因；交付单可直接生成调运单，进场不再靠微信群口头派车。工期顺延审批后未验收交付单自动后移并留存原计划日与顺延原因。</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交付与调度</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交付看板</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交付看板按交期排队：待排产、整备中、待发运、在途、已到场一屏看完，逾期与今日到期置顶。</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交付与调度</w:t>
            </w:r>
          </w:p>
        </w:tc>
        <w:tc>
          <w:tcPr>
            <w:tcW w:type="dxa" w:w="1928"/>
          </w:tcPr>
          <w:p>
            <w:pPr>
              <w:spacing w:after="40" w:before="40" w:line="300" w:lineRule="auto"/>
            </w:pPr>
            <w:r/>
            <w:r>
              <w:rPr>
                <w:rFonts w:ascii="微软雅黑" w:hAnsi="微软雅黑" w:eastAsia="微软雅黑"/>
                <w:b w:val="0"/>
                <w:i w:val="0"/>
                <w:color w:val="102826"/>
                <w:sz w:val="15"/>
              </w:rPr>
              <w:t>调运单</w:t>
            </w:r>
          </w:p>
        </w:tc>
        <w:tc>
          <w:tcPr>
            <w:tcW w:type="dxa" w:w="5216"/>
          </w:tcPr>
          <w:p>
            <w:pPr>
              <w:spacing w:after="40" w:before="40" w:line="300" w:lineRule="auto"/>
            </w:pPr>
            <w:r/>
            <w:r>
              <w:rPr>
                <w:rFonts w:ascii="微软雅黑" w:hAnsi="微软雅黑" w:eastAsia="微软雅黑"/>
                <w:b w:val="0"/>
                <w:i w:val="0"/>
                <w:color w:val="102826"/>
                <w:sz w:val="15"/>
              </w:rPr>
              <w:t>一张调运单打通交付计划与运输调度：承运商、车牌、司机、车型轴数、里程、运费、过路费、超限许可、装卸与护送，装车 / 在途 / 到场 / 签收逐段留痕；派车单交司机、承运结算单交财务，签收才可进入运费对账。</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交付与调度</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调运看板</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调运看板：待派车、超期未到场、超限未办证与本月运费成本一屏掌握；按承运商统计趟数、准时率与证照办理率，按月一键出对账单并落账，落账即生成应付凭证（付款单号 = 批次号），付款后回写应付状态，支持撤销对账。</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施工与台班</w:t>
            </w:r>
          </w:p>
        </w:tc>
        <w:tc>
          <w:tcPr>
            <w:tcW w:type="dxa" w:w="1928"/>
          </w:tcPr>
          <w:p>
            <w:pPr>
              <w:spacing w:after="40" w:before="40" w:line="300" w:lineRule="auto"/>
            </w:pPr>
            <w:r/>
            <w:r>
              <w:rPr>
                <w:rFonts w:ascii="微软雅黑" w:hAnsi="微软雅黑" w:eastAsia="微软雅黑"/>
                <w:b w:val="0"/>
                <w:i w:val="0"/>
                <w:color w:val="102826"/>
                <w:sz w:val="15"/>
              </w:rPr>
              <w:t>施工工单</w:t>
            </w:r>
          </w:p>
        </w:tc>
        <w:tc>
          <w:tcPr>
            <w:tcW w:type="dxa" w:w="5216"/>
          </w:tcPr>
          <w:p>
            <w:pPr>
              <w:spacing w:after="40" w:before="40" w:line="300" w:lineRule="auto"/>
            </w:pPr>
            <w:r/>
            <w:r>
              <w:rPr>
                <w:rFonts w:ascii="微软雅黑" w:hAnsi="微软雅黑" w:eastAsia="微软雅黑"/>
                <w:b w:val="0"/>
                <w:i w:val="0"/>
                <w:color w:val="102826"/>
                <w:sz w:val="15"/>
              </w:rPr>
              <w:t>带人施工核心单据：工序、工程量、单价、风险等级与作业许可一单到底。</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施工与台班</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台班记录</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现场台班单：起止时间、台时、超时、油量与工程量，客户签字确认后才是结算依据。</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施工与台班</w:t>
            </w:r>
          </w:p>
        </w:tc>
        <w:tc>
          <w:tcPr>
            <w:tcW w:type="dxa" w:w="1928"/>
          </w:tcPr>
          <w:p>
            <w:pPr>
              <w:spacing w:after="40" w:before="40" w:line="300" w:lineRule="auto"/>
            </w:pPr>
            <w:r/>
            <w:r>
              <w:rPr>
                <w:rFonts w:ascii="微软雅黑" w:hAnsi="微软雅黑" w:eastAsia="微软雅黑"/>
                <w:b w:val="0"/>
                <w:i w:val="0"/>
                <w:color w:val="102826"/>
                <w:sz w:val="15"/>
              </w:rPr>
              <w:t>现场报工</w:t>
            </w:r>
          </w:p>
        </w:tc>
        <w:tc>
          <w:tcPr>
            <w:tcW w:type="dxa" w:w="5216"/>
          </w:tcPr>
          <w:p>
            <w:pPr>
              <w:spacing w:after="40" w:before="40" w:line="300" w:lineRule="auto"/>
            </w:pPr>
            <w:r/>
            <w:r>
              <w:rPr>
                <w:rFonts w:ascii="微软雅黑" w:hAnsi="微软雅黑" w:eastAsia="微软雅黑"/>
                <w:b w:val="0"/>
                <w:i w:val="0"/>
                <w:color w:val="102826"/>
                <w:sz w:val="15"/>
              </w:rPr>
              <w:t>机手手机端按「派工单 + 设备 + 起止时间 + 台时读数 + 现场照片」报工，主管线上审批。</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施工与台班</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现场报工中心</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待审核报工按提交时间排队，通过后可一键转台班，驳回必须填写原因，机手手机端即时可见。</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施工与台班</w:t>
            </w:r>
          </w:p>
        </w:tc>
        <w:tc>
          <w:tcPr>
            <w:tcW w:type="dxa" w:w="1928"/>
          </w:tcPr>
          <w:p>
            <w:pPr>
              <w:spacing w:after="40" w:before="40" w:line="300" w:lineRule="auto"/>
            </w:pPr>
            <w:r/>
            <w:r>
              <w:rPr>
                <w:rFonts w:ascii="微软雅黑" w:hAnsi="微软雅黑" w:eastAsia="微软雅黑"/>
                <w:b w:val="0"/>
                <w:i w:val="0"/>
                <w:color w:val="102826"/>
                <w:sz w:val="15"/>
              </w:rPr>
              <w:t>现场签证</w:t>
            </w:r>
          </w:p>
        </w:tc>
        <w:tc>
          <w:tcPr>
            <w:tcW w:type="dxa" w:w="5216"/>
          </w:tcPr>
          <w:p>
            <w:pPr>
              <w:spacing w:after="40" w:before="40" w:line="300" w:lineRule="auto"/>
            </w:pPr>
            <w:r/>
            <w:r>
              <w:rPr>
                <w:rFonts w:ascii="微软雅黑" w:hAnsi="微软雅黑" w:eastAsia="微软雅黑"/>
                <w:b w:val="0"/>
                <w:i w:val="0"/>
                <w:color w:val="102826"/>
                <w:sz w:val="15"/>
              </w:rPr>
              <w:t>合同外增加的工程量、窝工、二次转运当日办签证，附照片与签字，否则结算没有依据。M71 起签证走「待确认 → 客户签认（存证码 + SHA-256 指纹 + 二维码验真）→ 计入同合同同账期结算」闭环，撤销签认 / 撤销计费 / 作废均可回退。</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施工与台班</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签证索赔中心</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签证索赔中心：待客户签认、已签认未计费、本月已计费与窝工识别四块屏；台班日台时 ≤ 2.5 小时自动进候选，按合同台班价折小时价给出建议索赔额，一键生成窝工签证草稿；签认后的工期签证可直接转工期顺延单。</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施工与台班</w:t>
            </w:r>
          </w:p>
        </w:tc>
        <w:tc>
          <w:tcPr>
            <w:tcW w:type="dxa" w:w="1928"/>
          </w:tcPr>
          <w:p>
            <w:pPr>
              <w:spacing w:after="40" w:before="40" w:line="300" w:lineRule="auto"/>
            </w:pPr>
            <w:r/>
            <w:r>
              <w:rPr>
                <w:rFonts w:ascii="微软雅黑" w:hAnsi="微软雅黑" w:eastAsia="微软雅黑"/>
                <w:b w:val="0"/>
                <w:i w:val="0"/>
                <w:color w:val="102826"/>
                <w:sz w:val="15"/>
              </w:rPr>
              <w:t>争议处理</w:t>
            </w:r>
          </w:p>
        </w:tc>
        <w:tc>
          <w:tcPr>
            <w:tcW w:type="dxa" w:w="5216"/>
          </w:tcPr>
          <w:p>
            <w:pPr>
              <w:spacing w:after="40" w:before="40" w:line="300" w:lineRule="auto"/>
            </w:pPr>
            <w:r/>
            <w:r>
              <w:rPr>
                <w:rFonts w:ascii="微软雅黑" w:hAnsi="微软雅黑" w:eastAsia="微软雅黑"/>
                <w:b w:val="0"/>
                <w:i w:val="0"/>
                <w:color w:val="102826"/>
                <w:sz w:val="15"/>
              </w:rPr>
              <w:t>台班与结算争议登记异议内容、争议金额、责任认定与处理结果，闭环后回写结算。</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施工与台班</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起重性能曲线</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按型号 + 臂长 + 幅度维护额定起重量表，是吊装选型与超载校验的唯一依据（16）。</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施工与台班</w:t>
            </w:r>
          </w:p>
        </w:tc>
        <w:tc>
          <w:tcPr>
            <w:tcW w:type="dxa" w:w="1928"/>
          </w:tcPr>
          <w:p>
            <w:pPr>
              <w:spacing w:after="40" w:before="40" w:line="300" w:lineRule="auto"/>
            </w:pPr>
            <w:r/>
            <w:r>
              <w:rPr>
                <w:rFonts w:ascii="微软雅黑" w:hAnsi="微软雅黑" w:eastAsia="微软雅黑"/>
                <w:b w:val="0"/>
                <w:i w:val="0"/>
                <w:color w:val="102826"/>
                <w:sz w:val="15"/>
              </w:rPr>
              <w:t>吊装令</w:t>
            </w:r>
          </w:p>
        </w:tc>
        <w:tc>
          <w:tcPr>
            <w:tcW w:type="dxa" w:w="5216"/>
          </w:tcPr>
          <w:p>
            <w:pPr>
              <w:spacing w:after="40" w:before="40" w:line="300" w:lineRule="auto"/>
            </w:pPr>
            <w:r/>
            <w:r>
              <w:rPr>
                <w:rFonts w:ascii="微软雅黑" w:hAnsi="微软雅黑" w:eastAsia="微软雅黑"/>
                <w:b w:val="0"/>
                <w:i w:val="0"/>
                <w:color w:val="102826"/>
                <w:sz w:val="15"/>
              </w:rPr>
              <w:t>大型起吊无吊装令不得起吊（15）：载荷、幅度、天气、场地、指挥与司索全部确认后才可签发。</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施工与台班</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安拆专项方案</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塔机与施工升降机的安装、拆卸、顶升加节必须有专项方案、有资质单位与验收记录。</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施工与台班</w:t>
            </w:r>
          </w:p>
        </w:tc>
        <w:tc>
          <w:tcPr>
            <w:tcW w:type="dxa" w:w="1928"/>
          </w:tcPr>
          <w:p>
            <w:pPr>
              <w:spacing w:after="40" w:before="40" w:line="300" w:lineRule="auto"/>
            </w:pPr>
            <w:r/>
            <w:r>
              <w:rPr>
                <w:rFonts w:ascii="微软雅黑" w:hAnsi="微软雅黑" w:eastAsia="微软雅黑"/>
                <w:b w:val="0"/>
                <w:i w:val="0"/>
                <w:color w:val="102826"/>
                <w:sz w:val="15"/>
              </w:rPr>
              <w:t>停复工报备</w:t>
            </w:r>
          </w:p>
        </w:tc>
        <w:tc>
          <w:tcPr>
            <w:tcW w:type="dxa" w:w="5216"/>
          </w:tcPr>
          <w:p>
            <w:pPr>
              <w:spacing w:after="40" w:before="40" w:line="300" w:lineRule="auto"/>
            </w:pPr>
            <w:r/>
            <w:r>
              <w:rPr>
                <w:rFonts w:ascii="微软雅黑" w:hAnsi="微软雅黑" w:eastAsia="微软雅黑"/>
                <w:b w:val="0"/>
                <w:i w:val="0"/>
                <w:color w:val="102826"/>
                <w:sz w:val="15"/>
              </w:rPr>
              <w:t>停复工报备单：停工原因、责任归属、预计与实际停工天数、日租金、顺延天数与减免金额一单到底，回链工期顺延变更单、停机减免扣款单与结算单；手机端可现场填报并一键确认复工。</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施工与台班</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停复工台账</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停复工台账：现场停工先报备，复工按实际天数重算；甲方原因 / 不可抗力转工期顺延，乙方原因按合同日租金生成停机减免扣款单、审批后冲减账期结算应付，双方共担对半；超预计未复工单独预警，撤销按「顺延 → 减免 → 停工单」逆序回滚。</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台班结算</w:t>
            </w:r>
          </w:p>
        </w:tc>
        <w:tc>
          <w:tcPr>
            <w:tcW w:type="dxa" w:w="1928"/>
          </w:tcPr>
          <w:p>
            <w:pPr>
              <w:spacing w:after="40" w:before="40" w:line="300" w:lineRule="auto"/>
            </w:pPr>
            <w:r/>
            <w:r>
              <w:rPr>
                <w:rFonts w:ascii="微软雅黑" w:hAnsi="微软雅黑" w:eastAsia="微软雅黑"/>
                <w:b w:val="0"/>
                <w:i w:val="0"/>
                <w:color w:val="102826"/>
                <w:sz w:val="15"/>
              </w:rPr>
              <w:t>结算单</w:t>
            </w:r>
          </w:p>
        </w:tc>
        <w:tc>
          <w:tcPr>
            <w:tcW w:type="dxa" w:w="5216"/>
          </w:tcPr>
          <w:p>
            <w:pPr>
              <w:spacing w:after="40" w:before="40" w:line="300" w:lineRule="auto"/>
            </w:pPr>
            <w:r/>
            <w:r>
              <w:rPr>
                <w:rFonts w:ascii="微软雅黑" w:hAnsi="微软雅黑" w:eastAsia="微软雅黑"/>
                <w:b w:val="0"/>
                <w:i w:val="0"/>
                <w:color w:val="102826"/>
                <w:sz w:val="15"/>
              </w:rPr>
              <w:t>按合同与账期汇总台班、工单、签证，扣减油料、罚款与超时后生成应付金额。</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台班结算</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扣款与保证金</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油料、超时、损坏、安全罚款等扣款逐笔登记并关联结算，避免口头扣款月底扯皮。</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台班结算</w:t>
            </w:r>
          </w:p>
        </w:tc>
        <w:tc>
          <w:tcPr>
            <w:tcW w:type="dxa" w:w="1928"/>
          </w:tcPr>
          <w:p>
            <w:pPr>
              <w:spacing w:after="40" w:before="40" w:line="300" w:lineRule="auto"/>
            </w:pPr>
            <w:r/>
            <w:r>
              <w:rPr>
                <w:rFonts w:ascii="微软雅黑" w:hAnsi="微软雅黑" w:eastAsia="微软雅黑"/>
                <w:b w:val="0"/>
                <w:i w:val="0"/>
                <w:color w:val="102826"/>
                <w:sz w:val="15"/>
              </w:rPr>
              <w:t>保证金/质保金</w:t>
            </w:r>
          </w:p>
        </w:tc>
        <w:tc>
          <w:tcPr>
            <w:tcW w:type="dxa" w:w="5216"/>
          </w:tcPr>
          <w:p>
            <w:pPr>
              <w:spacing w:after="40" w:before="40" w:line="300" w:lineRule="auto"/>
            </w:pPr>
            <w:r/>
            <w:r>
              <w:rPr>
                <w:rFonts w:ascii="微软雅黑" w:hAnsi="微软雅黑" w:eastAsia="微软雅黑"/>
                <w:b w:val="0"/>
                <w:i w:val="0"/>
                <w:color w:val="102826"/>
                <w:sz w:val="15"/>
              </w:rPr>
              <w:t>保证金/质保金：台班结算基础档案维护。</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台班结算</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应收账单</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由结算单生成应收账单并按合同账期归集，逾期自动进入催收队列。</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台班结算</w:t>
            </w:r>
          </w:p>
        </w:tc>
        <w:tc>
          <w:tcPr>
            <w:tcW w:type="dxa" w:w="1928"/>
          </w:tcPr>
          <w:p>
            <w:pPr>
              <w:spacing w:after="40" w:before="40" w:line="300" w:lineRule="auto"/>
            </w:pPr>
            <w:r/>
            <w:r>
              <w:rPr>
                <w:rFonts w:ascii="微软雅黑" w:hAnsi="微软雅黑" w:eastAsia="微软雅黑"/>
                <w:b w:val="0"/>
                <w:i w:val="0"/>
                <w:color w:val="102826"/>
                <w:sz w:val="15"/>
              </w:rPr>
              <w:t>收款核销</w:t>
            </w:r>
          </w:p>
        </w:tc>
        <w:tc>
          <w:tcPr>
            <w:tcW w:type="dxa" w:w="5216"/>
          </w:tcPr>
          <w:p>
            <w:pPr>
              <w:spacing w:after="40" w:before="40" w:line="300" w:lineRule="auto"/>
            </w:pPr>
            <w:r/>
            <w:r>
              <w:rPr>
                <w:rFonts w:ascii="微软雅黑" w:hAnsi="微软雅黑" w:eastAsia="微软雅黑"/>
                <w:b w:val="0"/>
                <w:i w:val="0"/>
                <w:color w:val="102826"/>
                <w:sz w:val="15"/>
              </w:rPr>
              <w:t>银行流水与账单逐笔核销，支持部分收款与预收冲抵，未收余额实时回写。</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台班结算</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催收任务</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按客户账龄生成催收任务，记录电话、微信、上门节点与承诺付款日，逾期升级法务。</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台班结算</w:t>
            </w:r>
          </w:p>
        </w:tc>
        <w:tc>
          <w:tcPr>
            <w:tcW w:type="dxa" w:w="1928"/>
          </w:tcPr>
          <w:p>
            <w:pPr>
              <w:spacing w:after="40" w:before="40" w:line="300" w:lineRule="auto"/>
            </w:pPr>
            <w:r/>
            <w:r>
              <w:rPr>
                <w:rFonts w:ascii="微软雅黑" w:hAnsi="微软雅黑" w:eastAsia="微软雅黑"/>
                <w:b w:val="0"/>
                <w:i w:val="0"/>
                <w:color w:val="102826"/>
                <w:sz w:val="15"/>
              </w:rPr>
              <w:t>对账单</w:t>
            </w:r>
          </w:p>
        </w:tc>
        <w:tc>
          <w:tcPr>
            <w:tcW w:type="dxa" w:w="5216"/>
          </w:tcPr>
          <w:p>
            <w:pPr>
              <w:spacing w:after="40" w:before="40" w:line="300" w:lineRule="auto"/>
            </w:pPr>
            <w:r/>
            <w:r>
              <w:rPr>
                <w:rFonts w:ascii="微软雅黑" w:hAnsi="微软雅黑" w:eastAsia="微软雅黑"/>
                <w:b w:val="0"/>
                <w:i w:val="0"/>
                <w:color w:val="102826"/>
                <w:sz w:val="15"/>
              </w:rPr>
              <w:t>按「客户 + 账期」一键汇总：期初未收 + 本期结算 − 本期收款 = 期末未收，明细可下钻。</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台班结算</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对账明细</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每期对账的收入、扣款与收款逐行留痕，差异可标注原因与处理人。</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台班结算</w:t>
            </w:r>
          </w:p>
        </w:tc>
        <w:tc>
          <w:tcPr>
            <w:tcW w:type="dxa" w:w="1928"/>
          </w:tcPr>
          <w:p>
            <w:pPr>
              <w:spacing w:after="40" w:before="40" w:line="300" w:lineRule="auto"/>
            </w:pPr>
            <w:r/>
            <w:r>
              <w:rPr>
                <w:rFonts w:ascii="微软雅黑" w:hAnsi="微软雅黑" w:eastAsia="微软雅黑"/>
                <w:b w:val="0"/>
                <w:i w:val="0"/>
                <w:color w:val="102826"/>
                <w:sz w:val="15"/>
              </w:rPr>
              <w:t>应收账龄分析</w:t>
            </w:r>
          </w:p>
        </w:tc>
        <w:tc>
          <w:tcPr>
            <w:tcW w:type="dxa" w:w="5216"/>
          </w:tcPr>
          <w:p>
            <w:pPr>
              <w:spacing w:after="40" w:before="40" w:line="300" w:lineRule="auto"/>
            </w:pPr>
            <w:r/>
            <w:r>
              <w:rPr>
                <w:rFonts w:ascii="微软雅黑" w:hAnsi="微软雅黑" w:eastAsia="微软雅黑"/>
                <w:b w:val="0"/>
                <w:i w:val="0"/>
                <w:color w:val="102826"/>
                <w:sz w:val="15"/>
              </w:rPr>
              <w:t>按客户汇总未收并拆成未到期、1-30、31-60、61-90、90 天以上，风险一眼可见。</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台班结算</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客户信用</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有效额度 = 客户基础授信 + 已批准且未到期的临时放账。</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台班结算</w:t>
            </w:r>
          </w:p>
        </w:tc>
        <w:tc>
          <w:tcPr>
            <w:tcW w:type="dxa" w:w="1928"/>
          </w:tcPr>
          <w:p>
            <w:pPr>
              <w:spacing w:after="40" w:before="40" w:line="300" w:lineRule="auto"/>
            </w:pPr>
            <w:r/>
            <w:r>
              <w:rPr>
                <w:rFonts w:ascii="微软雅黑" w:hAnsi="微软雅黑" w:eastAsia="微软雅黑"/>
                <w:b w:val="0"/>
                <w:i w:val="0"/>
                <w:color w:val="102826"/>
                <w:sz w:val="15"/>
              </w:rPr>
              <w:t>授信申请</w:t>
            </w:r>
          </w:p>
        </w:tc>
        <w:tc>
          <w:tcPr>
            <w:tcW w:type="dxa" w:w="5216"/>
          </w:tcPr>
          <w:p>
            <w:pPr>
              <w:spacing w:after="40" w:before="40" w:line="300" w:lineRule="auto"/>
            </w:pPr>
            <w:r/>
            <w:r>
              <w:rPr>
                <w:rFonts w:ascii="微软雅黑" w:hAnsi="微软雅黑" w:eastAsia="微软雅黑"/>
                <w:b w:val="0"/>
                <w:i w:val="0"/>
                <w:color w:val="102826"/>
                <w:sz w:val="15"/>
              </w:rPr>
              <w:t>新增授信、提额、临时放账、账期调整、冻结与解冻统一走审批，额度变更全留痕。</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台班结算</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发票管理</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销项按结算单开票、进项按供应商登记，票种、税率、税额与红冲全程留痕。</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财务资金</w:t>
            </w:r>
          </w:p>
        </w:tc>
        <w:tc>
          <w:tcPr>
            <w:tcW w:type="dxa" w:w="1928"/>
          </w:tcPr>
          <w:p>
            <w:pPr>
              <w:spacing w:after="40" w:before="40" w:line="300" w:lineRule="auto"/>
            </w:pPr>
            <w:r/>
            <w:r>
              <w:rPr>
                <w:rFonts w:ascii="微软雅黑" w:hAnsi="微软雅黑" w:eastAsia="微软雅黑"/>
                <w:b w:val="0"/>
                <w:i w:val="0"/>
                <w:color w:val="102826"/>
                <w:sz w:val="15"/>
              </w:rPr>
              <w:t>主体核算</w:t>
            </w:r>
          </w:p>
        </w:tc>
        <w:tc>
          <w:tcPr>
            <w:tcW w:type="dxa" w:w="5216"/>
          </w:tcPr>
          <w:p>
            <w:pPr>
              <w:spacing w:after="40" w:before="40" w:line="300" w:lineRule="auto"/>
            </w:pPr>
            <w:r/>
            <w:r>
              <w:rPr>
                <w:rFonts w:ascii="微软雅黑" w:hAnsi="微软雅黑" w:eastAsia="微软雅黑"/>
                <w:b w:val="0"/>
                <w:i w:val="0"/>
                <w:color w:val="102826"/>
                <w:sz w:val="15"/>
              </w:rPr>
              <w:t>分主体损益、内部交易抵销与合并口径一张表；主体缺失的记录自动提示补齐合同归属。</w:t>
            </w:r>
          </w:p>
        </w:tc>
        <w:tc>
          <w:tcPr>
            <w:tcW w:type="dxa" w:w="737"/>
          </w:tcPr>
          <w:p>
            <w:pPr>
              <w:spacing w:after="40" w:before="40" w:line="300" w:lineRule="auto"/>
            </w:pPr>
            <w:r/>
            <w:r>
              <w:rPr>
                <w:rFonts w:ascii="微软雅黑" w:hAnsi="微软雅黑" w:eastAsia="微软雅黑"/>
                <w:b w:val="0"/>
                <w:i w:val="0"/>
                <w:color w:val="102826"/>
                <w:sz w:val="15"/>
              </w:rPr>
              <w:t>P1</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财务资金</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期末关账</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关账后该账期的结算、账单、收款、发票、费用全部锁定，固化快照与差异锁表防止事后改数。</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财务资金</w:t>
            </w:r>
          </w:p>
        </w:tc>
        <w:tc>
          <w:tcPr>
            <w:tcW w:type="dxa" w:w="1928"/>
          </w:tcPr>
          <w:p>
            <w:pPr>
              <w:spacing w:after="40" w:before="40" w:line="300" w:lineRule="auto"/>
            </w:pPr>
            <w:r/>
            <w:r>
              <w:rPr>
                <w:rFonts w:ascii="微软雅黑" w:hAnsi="微软雅黑" w:eastAsia="微软雅黑"/>
                <w:b w:val="0"/>
                <w:i w:val="0"/>
                <w:color w:val="102826"/>
                <w:sz w:val="15"/>
              </w:rPr>
              <w:t>内部交易/分摊</w:t>
            </w:r>
          </w:p>
        </w:tc>
        <w:tc>
          <w:tcPr>
            <w:tcW w:type="dxa" w:w="5216"/>
          </w:tcPr>
          <w:p>
            <w:pPr>
              <w:spacing w:after="40" w:before="40" w:line="300" w:lineRule="auto"/>
            </w:pPr>
            <w:r/>
            <w:r>
              <w:rPr>
                <w:rFonts w:ascii="微软雅黑" w:hAnsi="微软雅黑" w:eastAsia="微软雅黑"/>
                <w:b w:val="0"/>
                <w:i w:val="0"/>
                <w:color w:val="102826"/>
                <w:sz w:val="15"/>
              </w:rPr>
              <w:t>主体之间内部结算：提供方确认内部收入，承担方确认内部成本，合并报表时同额抵销。</w:t>
            </w:r>
          </w:p>
        </w:tc>
        <w:tc>
          <w:tcPr>
            <w:tcW w:type="dxa" w:w="737"/>
          </w:tcPr>
          <w:p>
            <w:pPr>
              <w:spacing w:after="40" w:before="40" w:line="300" w:lineRule="auto"/>
            </w:pPr>
            <w:r/>
            <w:r>
              <w:rPr>
                <w:rFonts w:ascii="微软雅黑" w:hAnsi="微软雅黑" w:eastAsia="微软雅黑"/>
                <w:b w:val="0"/>
                <w:i w:val="0"/>
                <w:color w:val="102826"/>
                <w:sz w:val="15"/>
              </w:rPr>
              <w:t>P1</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财务资金</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资金账户</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资金账户：财务资金基础档案维护。</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财务资金</w:t>
            </w:r>
          </w:p>
        </w:tc>
        <w:tc>
          <w:tcPr>
            <w:tcW w:type="dxa" w:w="1928"/>
          </w:tcPr>
          <w:p>
            <w:pPr>
              <w:spacing w:after="40" w:before="40" w:line="300" w:lineRule="auto"/>
            </w:pPr>
            <w:r/>
            <w:r>
              <w:rPr>
                <w:rFonts w:ascii="微软雅黑" w:hAnsi="微软雅黑" w:eastAsia="微软雅黑"/>
                <w:b w:val="0"/>
                <w:i w:val="0"/>
                <w:color w:val="102826"/>
                <w:sz w:val="15"/>
              </w:rPr>
              <w:t>资金流水</w:t>
            </w:r>
          </w:p>
        </w:tc>
        <w:tc>
          <w:tcPr>
            <w:tcW w:type="dxa" w:w="5216"/>
          </w:tcPr>
          <w:p>
            <w:pPr>
              <w:spacing w:after="40" w:before="40" w:line="300" w:lineRule="auto"/>
            </w:pPr>
            <w:r/>
            <w:r>
              <w:rPr>
                <w:rFonts w:ascii="微软雅黑" w:hAnsi="微软雅黑" w:eastAsia="微软雅黑"/>
                <w:b w:val="0"/>
                <w:i w:val="0"/>
                <w:color w:val="102826"/>
                <w:sz w:val="15"/>
              </w:rPr>
              <w:t>多账户收支流水按项目、客户与供应商标记来源，支撑资金缺口预测与账户调节。</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财务资金</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资金计划</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M25 资金计划：把「已知但还没发生」的收付款排进日历，与账单、付款单、税费、工资、月供一起滚动预测 12 周现金流。</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财务资金</w:t>
            </w:r>
          </w:p>
        </w:tc>
        <w:tc>
          <w:tcPr>
            <w:tcW w:type="dxa" w:w="1928"/>
          </w:tcPr>
          <w:p>
            <w:pPr>
              <w:spacing w:after="40" w:before="40" w:line="300" w:lineRule="auto"/>
            </w:pPr>
            <w:r/>
            <w:r>
              <w:rPr>
                <w:rFonts w:ascii="微软雅黑" w:hAnsi="微软雅黑" w:eastAsia="微软雅黑"/>
                <w:b w:val="0"/>
                <w:i w:val="0"/>
                <w:color w:val="102826"/>
                <w:sz w:val="15"/>
              </w:rPr>
              <w:t>付款单</w:t>
            </w:r>
          </w:p>
        </w:tc>
        <w:tc>
          <w:tcPr>
            <w:tcW w:type="dxa" w:w="5216"/>
          </w:tcPr>
          <w:p>
            <w:pPr>
              <w:spacing w:after="40" w:before="40" w:line="300" w:lineRule="auto"/>
            </w:pPr>
            <w:r/>
            <w:r>
              <w:rPr>
                <w:rFonts w:ascii="微软雅黑" w:hAnsi="微软雅黑" w:eastAsia="微软雅黑"/>
                <w:b w:val="0"/>
                <w:i w:val="0"/>
                <w:color w:val="102826"/>
                <w:sz w:val="15"/>
              </w:rPr>
              <w:t>油料、配件、运输、维修与工资付款申请走审批，付款后回写订单与成本。</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财务资金</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应付核销</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应付全流程：对账 / 订单 / 报销 / 外协结算生成付款单 → 挂进项发票 → 三单匹配 → 审批 → 付款 → 反核销。</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财务资金</w:t>
            </w:r>
          </w:p>
        </w:tc>
        <w:tc>
          <w:tcPr>
            <w:tcW w:type="dxa" w:w="1928"/>
          </w:tcPr>
          <w:p>
            <w:pPr>
              <w:spacing w:after="40" w:before="40" w:line="300" w:lineRule="auto"/>
            </w:pPr>
            <w:r/>
            <w:r>
              <w:rPr>
                <w:rFonts w:ascii="微软雅黑" w:hAnsi="微软雅黑" w:eastAsia="微软雅黑"/>
                <w:b w:val="0"/>
                <w:i w:val="0"/>
                <w:color w:val="102826"/>
                <w:sz w:val="15"/>
              </w:rPr>
              <w:t>费用报销</w:t>
            </w:r>
          </w:p>
        </w:tc>
        <w:tc>
          <w:tcPr>
            <w:tcW w:type="dxa" w:w="5216"/>
          </w:tcPr>
          <w:p>
            <w:pPr>
              <w:spacing w:after="40" w:before="40" w:line="300" w:lineRule="auto"/>
            </w:pPr>
            <w:r/>
            <w:r>
              <w:rPr>
                <w:rFonts w:ascii="微软雅黑" w:hAnsi="微软雅黑" w:eastAsia="微软雅黑"/>
                <w:b w:val="0"/>
                <w:i w:val="0"/>
                <w:color w:val="102826"/>
                <w:sz w:val="15"/>
              </w:rPr>
              <w:t>差旅、招待与现场杂费报销按项目归集，关联发票，避免费用混在往来里。</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财务资金</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税务管理</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设备租赁 13%、建筑服务 9%、简易计税 3%。</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财务资金</w:t>
            </w:r>
          </w:p>
        </w:tc>
        <w:tc>
          <w:tcPr>
            <w:tcW w:type="dxa" w:w="1928"/>
          </w:tcPr>
          <w:p>
            <w:pPr>
              <w:spacing w:after="40" w:before="40" w:line="300" w:lineRule="auto"/>
            </w:pPr>
            <w:r/>
            <w:r>
              <w:rPr>
                <w:rFonts w:ascii="微软雅黑" w:hAnsi="微软雅黑" w:eastAsia="微软雅黑"/>
                <w:b w:val="0"/>
                <w:i w:val="0"/>
                <w:color w:val="102826"/>
                <w:sz w:val="15"/>
              </w:rPr>
              <w:t>汇率管理</w:t>
            </w:r>
          </w:p>
        </w:tc>
        <w:tc>
          <w:tcPr>
            <w:tcW w:type="dxa" w:w="5216"/>
          </w:tcPr>
          <w:p>
            <w:pPr>
              <w:spacing w:after="40" w:before="40" w:line="300" w:lineRule="auto"/>
            </w:pPr>
            <w:r/>
            <w:r>
              <w:rPr>
                <w:rFonts w:ascii="微软雅黑" w:hAnsi="微软雅黑" w:eastAsia="微软雅黑"/>
                <w:b w:val="0"/>
                <w:i w:val="0"/>
                <w:color w:val="102826"/>
                <w:sz w:val="15"/>
              </w:rPr>
              <w:t>出海项目按币种维护记账汇率，期末调汇差额计入财务费用。</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成本核算</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预算与目标</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按「年度 + 维度 + 对象」编预算，公司整体、项目、客户、设备同页切换对比。</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成本核算</w:t>
            </w:r>
          </w:p>
        </w:tc>
        <w:tc>
          <w:tcPr>
            <w:tcW w:type="dxa" w:w="1928"/>
          </w:tcPr>
          <w:p>
            <w:pPr>
              <w:spacing w:after="40" w:before="40" w:line="300" w:lineRule="auto"/>
            </w:pPr>
            <w:r/>
            <w:r>
              <w:rPr>
                <w:rFonts w:ascii="微软雅黑" w:hAnsi="微软雅黑" w:eastAsia="微软雅黑"/>
                <w:b w:val="0"/>
                <w:i w:val="0"/>
                <w:color w:val="102826"/>
                <w:sz w:val="15"/>
              </w:rPr>
              <w:t>加油记录</w:t>
            </w:r>
          </w:p>
        </w:tc>
        <w:tc>
          <w:tcPr>
            <w:tcW w:type="dxa" w:w="5216"/>
          </w:tcPr>
          <w:p>
            <w:pPr>
              <w:spacing w:after="40" w:before="40" w:line="300" w:lineRule="auto"/>
            </w:pPr>
            <w:r/>
            <w:r>
              <w:rPr>
                <w:rFonts w:ascii="微软雅黑" w:hAnsi="微软雅黑" w:eastAsia="微软雅黑"/>
                <w:b w:val="0"/>
                <w:i w:val="0"/>
                <w:color w:val="102826"/>
                <w:sz w:val="15"/>
              </w:rPr>
              <w:t>油卡与现场加油逐笔登记：升数、金额与台时读数，系统按上一条读数自动算间隔与油耗。</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成本核算</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油卡台账</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主卡、副卡、车队卡一张一档，绑定供油商、持卡人与月限额，加油自动按卡归集。</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成本核算</w:t>
            </w:r>
          </w:p>
        </w:tc>
        <w:tc>
          <w:tcPr>
            <w:tcW w:type="dxa" w:w="1928"/>
          </w:tcPr>
          <w:p>
            <w:pPr>
              <w:spacing w:after="40" w:before="40" w:line="300" w:lineRule="auto"/>
            </w:pPr>
            <w:r/>
            <w:r>
              <w:rPr>
                <w:rFonts w:ascii="微软雅黑" w:hAnsi="微软雅黑" w:eastAsia="微软雅黑"/>
                <w:b w:val="0"/>
                <w:i w:val="0"/>
                <w:color w:val="102826"/>
                <w:sz w:val="15"/>
              </w:rPr>
              <w:t>油卡对账</w:t>
            </w:r>
          </w:p>
        </w:tc>
        <w:tc>
          <w:tcPr>
            <w:tcW w:type="dxa" w:w="5216"/>
          </w:tcPr>
          <w:p>
            <w:pPr>
              <w:spacing w:after="40" w:before="40" w:line="300" w:lineRule="auto"/>
            </w:pPr>
            <w:r/>
            <w:r>
              <w:rPr>
                <w:rFonts w:ascii="微软雅黑" w:hAnsi="微软雅黑" w:eastAsia="微软雅黑"/>
                <w:b w:val="0"/>
                <w:i w:val="0"/>
                <w:color w:val="102826"/>
                <w:sz w:val="15"/>
              </w:rPr>
              <w:t>供油商账单的卡方升数与系统加油记录自动比对，差异逐条核销。</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成本核算</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项目成本归集</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按项目汇总台班收入、结算金额、费用、油料、维修与外协成本，实时看项目毛利。外协成本取「已退场 / 已结算」进场单的应付金额。</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成本核算</w:t>
            </w:r>
          </w:p>
        </w:tc>
        <w:tc>
          <w:tcPr>
            <w:tcW w:type="dxa" w:w="1928"/>
          </w:tcPr>
          <w:p>
            <w:pPr>
              <w:spacing w:after="40" w:before="40" w:line="300" w:lineRule="auto"/>
            </w:pPr>
            <w:r/>
            <w:r>
              <w:rPr>
                <w:rFonts w:ascii="微软雅黑" w:hAnsi="微软雅黑" w:eastAsia="微软雅黑"/>
                <w:b w:val="0"/>
                <w:i w:val="0"/>
                <w:color w:val="102826"/>
                <w:sz w:val="15"/>
              </w:rPr>
              <w:t>单机核算</w:t>
            </w:r>
          </w:p>
        </w:tc>
        <w:tc>
          <w:tcPr>
            <w:tcW w:type="dxa" w:w="5216"/>
          </w:tcPr>
          <w:p>
            <w:pPr>
              <w:spacing w:after="40" w:before="40" w:line="300" w:lineRule="auto"/>
            </w:pPr>
            <w:r/>
            <w:r>
              <w:rPr>
                <w:rFonts w:ascii="微软雅黑" w:hAnsi="微软雅黑" w:eastAsia="微软雅黑"/>
                <w:b w:val="0"/>
                <w:i w:val="0"/>
                <w:color w:val="102826"/>
                <w:sz w:val="15"/>
              </w:rPr>
              <w:t>一台设备的收入、油料、维修、人工与折旧一目了然，直接算投资回收期与盈亏平衡点。</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成本核算</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项目预算</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项目目标成本：人工、油料、维修、其他四项预算与实际对比，超支自动预警。</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成本核算</w:t>
            </w:r>
          </w:p>
        </w:tc>
        <w:tc>
          <w:tcPr>
            <w:tcW w:type="dxa" w:w="1928"/>
          </w:tcPr>
          <w:p>
            <w:pPr>
              <w:spacing w:after="40" w:before="40" w:line="300" w:lineRule="auto"/>
            </w:pPr>
            <w:r/>
            <w:r>
              <w:rPr>
                <w:rFonts w:ascii="微软雅黑" w:hAnsi="微软雅黑" w:eastAsia="微软雅黑"/>
                <w:b w:val="0"/>
                <w:i w:val="0"/>
                <w:color w:val="102826"/>
                <w:sz w:val="15"/>
              </w:rPr>
              <w:t>考核与提成</w:t>
            </w:r>
          </w:p>
        </w:tc>
        <w:tc>
          <w:tcPr>
            <w:tcW w:type="dxa" w:w="5216"/>
          </w:tcPr>
          <w:p>
            <w:pPr>
              <w:spacing w:after="40" w:before="40" w:line="300" w:lineRule="auto"/>
            </w:pPr>
            <w:r/>
            <w:r>
              <w:rPr>
                <w:rFonts w:ascii="微软雅黑" w:hAnsi="微软雅黑" w:eastAsia="微软雅黑"/>
                <w:b w:val="0"/>
                <w:i w:val="0"/>
                <w:color w:val="102826"/>
                <w:sz w:val="15"/>
              </w:rPr>
              <w:t>考核与提成：成本核算基础档案维护。</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成本核算</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机手工资</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机手工资 = 底薪 + 台时计件 + 补贴 - 扣款，按台班记录自动汇总。</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维修保养</w:t>
            </w:r>
          </w:p>
        </w:tc>
        <w:tc>
          <w:tcPr>
            <w:tcW w:type="dxa" w:w="1928"/>
          </w:tcPr>
          <w:p>
            <w:pPr>
              <w:spacing w:after="40" w:before="40" w:line="300" w:lineRule="auto"/>
            </w:pPr>
            <w:r/>
            <w:r>
              <w:rPr>
                <w:rFonts w:ascii="微软雅黑" w:hAnsi="微软雅黑" w:eastAsia="微软雅黑"/>
                <w:b w:val="0"/>
                <w:i w:val="0"/>
                <w:color w:val="102826"/>
                <w:sz w:val="15"/>
              </w:rPr>
              <w:t>保养计划</w:t>
            </w:r>
          </w:p>
        </w:tc>
        <w:tc>
          <w:tcPr>
            <w:tcW w:type="dxa" w:w="5216"/>
          </w:tcPr>
          <w:p>
            <w:pPr>
              <w:spacing w:after="40" w:before="40" w:line="300" w:lineRule="auto"/>
            </w:pPr>
            <w:r/>
            <w:r>
              <w:rPr>
                <w:rFonts w:ascii="微软雅黑" w:hAnsi="微软雅黑" w:eastAsia="微软雅黑"/>
                <w:b w:val="0"/>
                <w:i w:val="0"/>
                <w:color w:val="102826"/>
                <w:sz w:val="15"/>
              </w:rPr>
              <w:t>按台时 + 日历双周期设定节奏：上次台时 + 周期台时 = 下次台时，到期自动进待办。</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维修保养</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报修申请</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机手手机端报修，故障描述与现场照片直达维修主管，紧急程度分级派工。</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维修保养</w:t>
            </w:r>
          </w:p>
        </w:tc>
        <w:tc>
          <w:tcPr>
            <w:tcW w:type="dxa" w:w="1928"/>
          </w:tcPr>
          <w:p>
            <w:pPr>
              <w:spacing w:after="40" w:before="40" w:line="300" w:lineRule="auto"/>
            </w:pPr>
            <w:r/>
            <w:r>
              <w:rPr>
                <w:rFonts w:ascii="微软雅黑" w:hAnsi="微软雅黑" w:eastAsia="微软雅黑"/>
                <w:b w:val="0"/>
                <w:i w:val="0"/>
                <w:color w:val="102826"/>
                <w:sz w:val="15"/>
              </w:rPr>
              <w:t>维修工单</w:t>
            </w:r>
          </w:p>
        </w:tc>
        <w:tc>
          <w:tcPr>
            <w:tcW w:type="dxa" w:w="5216"/>
          </w:tcPr>
          <w:p>
            <w:pPr>
              <w:spacing w:after="40" w:before="40" w:line="300" w:lineRule="auto"/>
            </w:pPr>
            <w:r/>
            <w:r>
              <w:rPr>
                <w:rFonts w:ascii="微软雅黑" w:hAnsi="微软雅黑" w:eastAsia="微软雅黑"/>
                <w:b w:val="0"/>
                <w:i w:val="0"/>
                <w:color w:val="102826"/>
                <w:sz w:val="15"/>
              </w:rPr>
              <w:t>维修工单记录工时、配件与费用，费用自动进入单机成本与项目成本。</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维修保养</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保养记录</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保养记录保存后回写计划的上次台时、上次日期与下次日期，计划自动滚到下一周期。</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维修保养</w:t>
            </w:r>
          </w:p>
        </w:tc>
        <w:tc>
          <w:tcPr>
            <w:tcW w:type="dxa" w:w="1928"/>
          </w:tcPr>
          <w:p>
            <w:pPr>
              <w:spacing w:after="40" w:before="40" w:line="300" w:lineRule="auto"/>
            </w:pPr>
            <w:r/>
            <w:r>
              <w:rPr>
                <w:rFonts w:ascii="微软雅黑" w:hAnsi="微软雅黑" w:eastAsia="微软雅黑"/>
                <w:b w:val="0"/>
                <w:i w:val="0"/>
                <w:color w:val="102826"/>
                <w:sz w:val="15"/>
              </w:rPr>
              <w:t>配件台账</w:t>
            </w:r>
          </w:p>
        </w:tc>
        <w:tc>
          <w:tcPr>
            <w:tcW w:type="dxa" w:w="5216"/>
          </w:tcPr>
          <w:p>
            <w:pPr>
              <w:spacing w:after="40" w:before="40" w:line="300" w:lineRule="auto"/>
            </w:pPr>
            <w:r/>
            <w:r>
              <w:rPr>
                <w:rFonts w:ascii="微软雅黑" w:hAnsi="微软雅黑" w:eastAsia="微软雅黑"/>
                <w:b w:val="0"/>
                <w:i w:val="0"/>
                <w:color w:val="102826"/>
                <w:sz w:val="15"/>
              </w:rPr>
              <w:t>当前库存 = 期初 + 入库 + 退库 + 盘盈 − 出库 − 盘亏，由出入库单自动重算，不允许手工改数。</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维修保养</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配件出入库</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出入库与盘点自动增减库存，出库数量超过可用库存会被硬拦截。</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维修保养</w:t>
            </w:r>
          </w:p>
        </w:tc>
        <w:tc>
          <w:tcPr>
            <w:tcW w:type="dxa" w:w="1928"/>
          </w:tcPr>
          <w:p>
            <w:pPr>
              <w:spacing w:after="40" w:before="40" w:line="300" w:lineRule="auto"/>
            </w:pPr>
            <w:r/>
            <w:r>
              <w:rPr>
                <w:rFonts w:ascii="微软雅黑" w:hAnsi="微软雅黑" w:eastAsia="微软雅黑"/>
                <w:b w:val="0"/>
                <w:i w:val="0"/>
                <w:color w:val="102826"/>
                <w:sz w:val="15"/>
              </w:rPr>
              <w:t>领料出库</w:t>
            </w:r>
          </w:p>
        </w:tc>
        <w:tc>
          <w:tcPr>
            <w:tcW w:type="dxa" w:w="5216"/>
          </w:tcPr>
          <w:p>
            <w:pPr>
              <w:spacing w:after="40" w:before="40" w:line="300" w:lineRule="auto"/>
            </w:pPr>
            <w:r/>
            <w:r>
              <w:rPr>
                <w:rFonts w:ascii="微软雅黑" w:hAnsi="微软雅黑" w:eastAsia="微软雅黑"/>
                <w:b w:val="0"/>
                <w:i w:val="0"/>
                <w:color w:val="102826"/>
                <w:sz w:val="15"/>
              </w:rPr>
              <w:t>领料必须关联保养记录或维修工单，设备随来源自动带出，杜绝随手领料。</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维修保养</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轮胎台账</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一胎一档：胎号绑定设备与安装位置，记录初始花纹、当前花纹与拆装读数。</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维修保养</w:t>
            </w:r>
          </w:p>
        </w:tc>
        <w:tc>
          <w:tcPr>
            <w:tcW w:type="dxa" w:w="1928"/>
          </w:tcPr>
          <w:p>
            <w:pPr>
              <w:spacing w:after="40" w:before="40" w:line="300" w:lineRule="auto"/>
            </w:pPr>
            <w:r/>
            <w:r>
              <w:rPr>
                <w:rFonts w:ascii="微软雅黑" w:hAnsi="微软雅黑" w:eastAsia="微软雅黑"/>
                <w:b w:val="0"/>
                <w:i w:val="0"/>
                <w:color w:val="102826"/>
                <w:sz w:val="15"/>
              </w:rPr>
              <w:t>台时抄表</w:t>
            </w:r>
          </w:p>
        </w:tc>
        <w:tc>
          <w:tcPr>
            <w:tcW w:type="dxa" w:w="5216"/>
          </w:tcPr>
          <w:p>
            <w:pPr>
              <w:spacing w:after="40" w:before="40" w:line="300" w:lineRule="auto"/>
            </w:pPr>
            <w:r/>
            <w:r>
              <w:rPr>
                <w:rFonts w:ascii="微软雅黑" w:hAnsi="微软雅黑" w:eastAsia="微软雅黑"/>
                <w:b w:val="0"/>
                <w:i w:val="0"/>
                <w:color w:val="102826"/>
                <w:sz w:val="15"/>
              </w:rPr>
              <w:t>按累计台时抄表，读数必须大于等于上一条以防倒表；抄表后台账累计台时自动更新。</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维修保养</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保养任务</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由「维保预警中心」按保养计划自动生成：台时不足或日期临期即为待处理任务，同一计划只保留一条未完成任务。</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维修保养</w:t>
            </w:r>
          </w:p>
        </w:tc>
        <w:tc>
          <w:tcPr>
            <w:tcW w:type="dxa" w:w="1928"/>
          </w:tcPr>
          <w:p>
            <w:pPr>
              <w:spacing w:after="40" w:before="40" w:line="300" w:lineRule="auto"/>
            </w:pPr>
            <w:r/>
            <w:r>
              <w:rPr>
                <w:rFonts w:ascii="微软雅黑" w:hAnsi="微软雅黑" w:eastAsia="微软雅黑"/>
                <w:b w:val="0"/>
                <w:i w:val="0"/>
                <w:color w:val="102826"/>
                <w:sz w:val="15"/>
              </w:rPr>
              <w:t>备件补货</w:t>
            </w:r>
          </w:p>
        </w:tc>
        <w:tc>
          <w:tcPr>
            <w:tcW w:type="dxa" w:w="5216"/>
          </w:tcPr>
          <w:p>
            <w:pPr>
              <w:spacing w:after="40" w:before="40" w:line="300" w:lineRule="auto"/>
            </w:pPr>
            <w:r/>
            <w:r>
              <w:rPr>
                <w:rFonts w:ascii="微软雅黑" w:hAnsi="微软雅黑" w:eastAsia="微软雅黑"/>
                <w:b w:val="0"/>
                <w:i w:val="0"/>
                <w:color w:val="102826"/>
                <w:sz w:val="15"/>
              </w:rPr>
              <w:t>库存低于安全库存一键生成补货申请，建议数量 = 安全库存 × 2 − 当前库存。</w:t>
            </w:r>
          </w:p>
        </w:tc>
        <w:tc>
          <w:tcPr>
            <w:tcW w:type="dxa" w:w="737"/>
          </w:tcPr>
          <w:p>
            <w:pPr>
              <w:spacing w:after="40" w:before="40" w:line="300" w:lineRule="auto"/>
            </w:pPr>
            <w:r/>
            <w:r>
              <w:rPr>
                <w:rFonts w:ascii="微软雅黑" w:hAnsi="微软雅黑" w:eastAsia="微软雅黑"/>
                <w:b w:val="0"/>
                <w:i w:val="0"/>
                <w:color w:val="102826"/>
                <w:sz w:val="15"/>
              </w:rPr>
              <w:t>P1</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采购供应</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采购中心</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备件补货或现场需求 → 采购申请 → 询价比价 → 定标下单 → 到货验收 → 入库，非最低价必须写明理由。</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人员安全</w:t>
            </w:r>
          </w:p>
        </w:tc>
        <w:tc>
          <w:tcPr>
            <w:tcW w:type="dxa" w:w="1928"/>
          </w:tcPr>
          <w:p>
            <w:pPr>
              <w:spacing w:after="40" w:before="40" w:line="300" w:lineRule="auto"/>
            </w:pPr>
            <w:r/>
            <w:r>
              <w:rPr>
                <w:rFonts w:ascii="微软雅黑" w:hAnsi="微软雅黑" w:eastAsia="微软雅黑"/>
                <w:b w:val="0"/>
                <w:i w:val="0"/>
                <w:color w:val="102826"/>
                <w:sz w:val="15"/>
              </w:rPr>
              <w:t>机手档案</w:t>
            </w:r>
          </w:p>
        </w:tc>
        <w:tc>
          <w:tcPr>
            <w:tcW w:type="dxa" w:w="5216"/>
          </w:tcPr>
          <w:p>
            <w:pPr>
              <w:spacing w:after="40" w:before="40" w:line="300" w:lineRule="auto"/>
            </w:pPr>
            <w:r/>
            <w:r>
              <w:rPr>
                <w:rFonts w:ascii="微软雅黑" w:hAnsi="微软雅黑" w:eastAsia="微软雅黑"/>
                <w:b w:val="0"/>
                <w:i w:val="0"/>
                <w:color w:val="102826"/>
                <w:sz w:val="15"/>
              </w:rPr>
              <w:t>机手、司机与起重工档案：证件、技能等级、当前设备与项目，证件到期自动预警。</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人员安全</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操作证管理</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一证一档，有效期自动判定临期与过期，证件预警与派工闸门共用同一口径。</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人员安全</w:t>
            </w:r>
          </w:p>
        </w:tc>
        <w:tc>
          <w:tcPr>
            <w:tcW w:type="dxa" w:w="1928"/>
          </w:tcPr>
          <w:p>
            <w:pPr>
              <w:spacing w:after="40" w:before="40" w:line="300" w:lineRule="auto"/>
            </w:pPr>
            <w:r/>
            <w:r>
              <w:rPr>
                <w:rFonts w:ascii="微软雅黑" w:hAnsi="微软雅黑" w:eastAsia="微软雅黑"/>
                <w:b w:val="0"/>
                <w:i w:val="0"/>
                <w:color w:val="102826"/>
                <w:sz w:val="15"/>
              </w:rPr>
              <w:t>班组管理</w:t>
            </w:r>
          </w:p>
        </w:tc>
        <w:tc>
          <w:tcPr>
            <w:tcW w:type="dxa" w:w="5216"/>
          </w:tcPr>
          <w:p>
            <w:pPr>
              <w:spacing w:after="40" w:before="40" w:line="300" w:lineRule="auto"/>
            </w:pPr>
            <w:r/>
            <w:r>
              <w:rPr>
                <w:rFonts w:ascii="微软雅黑" w:hAnsi="微软雅黑" w:eastAsia="微软雅黑"/>
                <w:b w:val="0"/>
                <w:i w:val="0"/>
                <w:color w:val="102826"/>
                <w:sz w:val="15"/>
              </w:rPr>
              <w:t>班组管理：人员安全基础档案维护。</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人员安全</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安全培训</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三级教育、专项培训与复训记录，学时、人数与合格率可统计。</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人员安全</w:t>
            </w:r>
          </w:p>
        </w:tc>
        <w:tc>
          <w:tcPr>
            <w:tcW w:type="dxa" w:w="1928"/>
          </w:tcPr>
          <w:p>
            <w:pPr>
              <w:spacing w:after="40" w:before="40" w:line="300" w:lineRule="auto"/>
            </w:pPr>
            <w:r/>
            <w:r>
              <w:rPr>
                <w:rFonts w:ascii="微软雅黑" w:hAnsi="微软雅黑" w:eastAsia="微软雅黑"/>
                <w:b w:val="0"/>
                <w:i w:val="0"/>
                <w:color w:val="102826"/>
                <w:sz w:val="15"/>
              </w:rPr>
              <w:t>培训签到</w:t>
            </w:r>
          </w:p>
        </w:tc>
        <w:tc>
          <w:tcPr>
            <w:tcW w:type="dxa" w:w="5216"/>
          </w:tcPr>
          <w:p>
            <w:pPr>
              <w:spacing w:after="40" w:before="40" w:line="300" w:lineRule="auto"/>
            </w:pPr>
            <w:r/>
            <w:r>
              <w:rPr>
                <w:rFonts w:ascii="微软雅黑" w:hAnsi="微软雅黑" w:eastAsia="微软雅黑"/>
                <w:b w:val="0"/>
                <w:i w:val="0"/>
                <w:color w:val="102826"/>
                <w:sz w:val="15"/>
              </w:rPr>
              <w:t>一场培训一份签到明细：谁签到、考了多少分、是否合格全部落库。</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人员安全</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违章记录</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违章按类型换算安全积分，12 个月累计到线即停派，复训销号后恢复派工。</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人员安全</w:t>
            </w:r>
          </w:p>
        </w:tc>
        <w:tc>
          <w:tcPr>
            <w:tcW w:type="dxa" w:w="1928"/>
          </w:tcPr>
          <w:p>
            <w:pPr>
              <w:spacing w:after="40" w:before="40" w:line="300" w:lineRule="auto"/>
            </w:pPr>
            <w:r/>
            <w:r>
              <w:rPr>
                <w:rFonts w:ascii="微软雅黑" w:hAnsi="微软雅黑" w:eastAsia="微软雅黑"/>
                <w:b w:val="0"/>
                <w:i w:val="0"/>
                <w:color w:val="102826"/>
                <w:sz w:val="15"/>
              </w:rPr>
              <w:t>隐患排查</w:t>
            </w:r>
          </w:p>
        </w:tc>
        <w:tc>
          <w:tcPr>
            <w:tcW w:type="dxa" w:w="5216"/>
          </w:tcPr>
          <w:p>
            <w:pPr>
              <w:spacing w:after="40" w:before="40" w:line="300" w:lineRule="auto"/>
            </w:pPr>
            <w:r/>
            <w:r>
              <w:rPr>
                <w:rFonts w:ascii="微软雅黑" w:hAnsi="微软雅黑" w:eastAsia="微软雅黑"/>
                <w:b w:val="0"/>
                <w:i w:val="0"/>
                <w:color w:val="102826"/>
                <w:sz w:val="15"/>
              </w:rPr>
              <w:t>隐患排查单：一次检查一张单，记录排查类型、项目、设备、部位、检查人与班组；发现的隐患逐条挂单，发现数与重大数自动汇总，已完成不可再追加，作废前须先撤销隐患登记。</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人员安全</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隐患台账</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安全隐患台账：现场发现即登记，风险分级（重大 / 较大 / 一般 / 低）决定整改期限，整改措施、费用与复查结论一单留痕；整改费用自动生成「安全投入」费用单进入项目成本与单机核算。</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人员安全</w:t>
            </w:r>
          </w:p>
        </w:tc>
        <w:tc>
          <w:tcPr>
            <w:tcW w:type="dxa" w:w="1928"/>
          </w:tcPr>
          <w:p>
            <w:pPr>
              <w:spacing w:after="40" w:before="40" w:line="300" w:lineRule="auto"/>
            </w:pPr>
            <w:r/>
            <w:r>
              <w:rPr>
                <w:rFonts w:ascii="微软雅黑" w:hAnsi="微软雅黑" w:eastAsia="微软雅黑"/>
                <w:b w:val="0"/>
                <w:i w:val="0"/>
                <w:color w:val="102826"/>
                <w:sz w:val="15"/>
              </w:rPr>
              <w:t>隐患整改</w:t>
            </w:r>
          </w:p>
        </w:tc>
        <w:tc>
          <w:tcPr>
            <w:tcW w:type="dxa" w:w="5216"/>
          </w:tcPr>
          <w:p>
            <w:pPr>
              <w:spacing w:after="40" w:before="40" w:line="300" w:lineRule="auto"/>
            </w:pPr>
            <w:r/>
            <w:r>
              <w:rPr>
                <w:rFonts w:ascii="微软雅黑" w:hAnsi="微软雅黑" w:eastAsia="微软雅黑"/>
                <w:b w:val="0"/>
                <w:i w:val="0"/>
                <w:color w:val="102826"/>
                <w:sz w:val="15"/>
              </w:rPr>
              <w:t>隐患整改中心：重大隐患置顶并可直接转停复工单或设备报修，待整改、待复查、逾期督办分区推进；复查不通过打回并累计次数，三次不通过升级督办；撤销按「关闭 → 整改 → 登记」逆序回退，费用单原路冲销。</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人员安全</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班组安全考核</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班组安全考核单：项目 × 班组 × 月份唯一一张，违章、隐患、培训、事故、停工五类台账自动取数，100 分制扣加分与等级（优秀 / 良好 / 合格 / 警示 / 黑榜）同单锁定；奖励生成「安全奖励」费用单进入项目成本，扣款生成「安全考核扣款」扣款单进入待审批，安全表现与钱袋子直接挂钩。</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人员安全</w:t>
            </w:r>
          </w:p>
        </w:tc>
        <w:tc>
          <w:tcPr>
            <w:tcW w:type="dxa" w:w="1928"/>
          </w:tcPr>
          <w:p>
            <w:pPr>
              <w:spacing w:after="40" w:before="40" w:line="300" w:lineRule="auto"/>
            </w:pPr>
            <w:r/>
            <w:r>
              <w:rPr>
                <w:rFonts w:ascii="微软雅黑" w:hAnsi="微软雅黑" w:eastAsia="微软雅黑"/>
                <w:b w:val="0"/>
                <w:i w:val="0"/>
                <w:color w:val="102826"/>
                <w:sz w:val="15"/>
              </w:rPr>
              <w:t>安全考核</w:t>
            </w:r>
          </w:p>
        </w:tc>
        <w:tc>
          <w:tcPr>
            <w:tcW w:type="dxa" w:w="5216"/>
          </w:tcPr>
          <w:p>
            <w:pPr>
              <w:spacing w:after="40" w:before="40" w:line="300" w:lineRule="auto"/>
            </w:pPr>
            <w:r/>
            <w:r>
              <w:rPr>
                <w:rFonts w:ascii="微软雅黑" w:hAnsi="微软雅黑" w:eastAsia="微软雅黑"/>
                <w:b w:val="0"/>
                <w:i w:val="0"/>
                <w:color w:val="102826"/>
                <w:sz w:val="15"/>
              </w:rPr>
              <w:t>安全考核中心：按月一键生成考核单并支持二次重算，待考核、已考核、已入账分区推进；分数拆解到每个扣分项可解释，红黑榜按项目 / 全公司双口径排名，优秀班组沉淀做法、黑榜班组进重点帮扶；入账后可逐级撤回与作废，奖励费用单与扣款单原路冲销。</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逆向业务</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退租退场</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退租退场单：设备状态、缺失配件、清洁费与损坏赔偿逐项确认，回写设备台账与合同。</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逆向业务</w:t>
            </w:r>
          </w:p>
        </w:tc>
        <w:tc>
          <w:tcPr>
            <w:tcW w:type="dxa" w:w="1928"/>
          </w:tcPr>
          <w:p>
            <w:pPr>
              <w:spacing w:after="40" w:before="40" w:line="300" w:lineRule="auto"/>
            </w:pPr>
            <w:r/>
            <w:r>
              <w:rPr>
                <w:rFonts w:ascii="微软雅黑" w:hAnsi="微软雅黑" w:eastAsia="微软雅黑"/>
                <w:b w:val="0"/>
                <w:i w:val="0"/>
                <w:color w:val="102826"/>
                <w:sz w:val="15"/>
              </w:rPr>
              <w:t>退料入库</w:t>
            </w:r>
          </w:p>
        </w:tc>
        <w:tc>
          <w:tcPr>
            <w:tcW w:type="dxa" w:w="5216"/>
          </w:tcPr>
          <w:p>
            <w:pPr>
              <w:spacing w:after="40" w:before="40" w:line="300" w:lineRule="auto"/>
            </w:pPr>
            <w:r/>
            <w:r>
              <w:rPr>
                <w:rFonts w:ascii="微软雅黑" w:hAnsi="微软雅黑" w:eastAsia="微软雅黑"/>
                <w:b w:val="0"/>
                <w:i w:val="0"/>
                <w:color w:val="102826"/>
                <w:sz w:val="15"/>
              </w:rPr>
              <w:t>退料入库单：现场剩余配件退货入库，库存与项目成本同步回冲。</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逆向业务</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红冲作废</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红冲作废单：已开票或已结算的单据作废走红冲，保留原单链路，不允许直接删数。</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逆向业务</w:t>
            </w:r>
          </w:p>
        </w:tc>
        <w:tc>
          <w:tcPr>
            <w:tcW w:type="dxa" w:w="1928"/>
          </w:tcPr>
          <w:p>
            <w:pPr>
              <w:spacing w:after="40" w:before="40" w:line="300" w:lineRule="auto"/>
            </w:pPr>
            <w:r/>
            <w:r>
              <w:rPr>
                <w:rFonts w:ascii="微软雅黑" w:hAnsi="微软雅黑" w:eastAsia="微软雅黑"/>
                <w:b w:val="0"/>
                <w:i w:val="0"/>
                <w:color w:val="102826"/>
                <w:sz w:val="15"/>
              </w:rPr>
              <w:t>逆向业务中心</w:t>
            </w:r>
          </w:p>
        </w:tc>
        <w:tc>
          <w:tcPr>
            <w:tcW w:type="dxa" w:w="5216"/>
          </w:tcPr>
          <w:p>
            <w:pPr>
              <w:spacing w:after="40" w:before="40" w:line="300" w:lineRule="auto"/>
            </w:pPr>
            <w:r/>
            <w:r>
              <w:rPr>
                <w:rFonts w:ascii="微软雅黑" w:hAnsi="微软雅黑" w:eastAsia="微软雅黑"/>
                <w:b w:val="0"/>
                <w:i w:val="0"/>
                <w:color w:val="102826"/>
                <w:sz w:val="15"/>
              </w:rPr>
              <w:t>逆向业务中心：退租、退料、红冲三类单据按状态排队，审批通过才允许执行，执行后回写原单。</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逆向业务</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逆向审批</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逆向分级审批：按单据类型与金额自动分级（业务归口 → 财务 / 总经理），全部通过才可执行；签收、退租、退料、红冲每一步都有责任人。</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协同中心</w:t>
            </w:r>
          </w:p>
        </w:tc>
        <w:tc>
          <w:tcPr>
            <w:tcW w:type="dxa" w:w="1928"/>
          </w:tcPr>
          <w:p>
            <w:pPr>
              <w:spacing w:after="40" w:before="40" w:line="300" w:lineRule="auto"/>
            </w:pPr>
            <w:r/>
            <w:r>
              <w:rPr>
                <w:rFonts w:ascii="微软雅黑" w:hAnsi="微软雅黑" w:eastAsia="微软雅黑"/>
                <w:b w:val="0"/>
                <w:i w:val="0"/>
                <w:color w:val="102826"/>
                <w:sz w:val="15"/>
              </w:rPr>
              <w:t>审批中心</w:t>
            </w:r>
          </w:p>
        </w:tc>
        <w:tc>
          <w:tcPr>
            <w:tcW w:type="dxa" w:w="5216"/>
          </w:tcPr>
          <w:p>
            <w:pPr>
              <w:spacing w:after="40" w:before="40" w:line="300" w:lineRule="auto"/>
            </w:pPr>
            <w:r/>
            <w:r>
              <w:rPr>
                <w:rFonts w:ascii="微软雅黑" w:hAnsi="微软雅黑" w:eastAsia="微软雅黑"/>
                <w:b w:val="0"/>
                <w:i w:val="0"/>
                <w:color w:val="102826"/>
                <w:sz w:val="15"/>
              </w:rPr>
              <w:t>合同、报价、调机、付款、减免、冲红、吊装令、危大方案集中在这里流转，待办一眼看清。</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协同中心</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审批规则</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按「单据类型 + 金额区间」配置审批级数与审批人，金额区间留空表示不设上限。</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协同中心</w:t>
            </w:r>
          </w:p>
        </w:tc>
        <w:tc>
          <w:tcPr>
            <w:tcW w:type="dxa" w:w="1928"/>
          </w:tcPr>
          <w:p>
            <w:pPr>
              <w:spacing w:after="40" w:before="40" w:line="300" w:lineRule="auto"/>
            </w:pPr>
            <w:r/>
            <w:r>
              <w:rPr>
                <w:rFonts w:ascii="微软雅黑" w:hAnsi="微软雅黑" w:eastAsia="微软雅黑"/>
                <w:b w:val="0"/>
                <w:i w:val="0"/>
                <w:color w:val="102826"/>
                <w:sz w:val="15"/>
              </w:rPr>
              <w:t>通知规则</w:t>
            </w:r>
          </w:p>
        </w:tc>
        <w:tc>
          <w:tcPr>
            <w:tcW w:type="dxa" w:w="5216"/>
          </w:tcPr>
          <w:p>
            <w:pPr>
              <w:spacing w:after="40" w:before="40" w:line="300" w:lineRule="auto"/>
            </w:pPr>
            <w:r/>
            <w:r>
              <w:rPr>
                <w:rFonts w:ascii="微软雅黑" w:hAnsi="微软雅黑" w:eastAsia="微软雅黑"/>
                <w:b w:val="0"/>
                <w:i w:val="0"/>
                <w:color w:val="102826"/>
                <w:sz w:val="15"/>
              </w:rPr>
              <w:t>一种事件类型只允许一条启用规则：重复启用会被硬拦截，避免同一条预警被多次推送。</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协同中心</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审批日志</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记录每一级审批动作、意见与时间，是审批追溯与责任认定的依据。</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系统设置</w:t>
            </w:r>
          </w:p>
        </w:tc>
        <w:tc>
          <w:tcPr>
            <w:tcW w:type="dxa" w:w="1928"/>
          </w:tcPr>
          <w:p>
            <w:pPr>
              <w:spacing w:after="40" w:before="40" w:line="300" w:lineRule="auto"/>
            </w:pPr>
            <w:r/>
            <w:r>
              <w:rPr>
                <w:rFonts w:ascii="微软雅黑" w:hAnsi="微软雅黑" w:eastAsia="微软雅黑"/>
                <w:b w:val="0"/>
                <w:i w:val="0"/>
                <w:color w:val="102826"/>
                <w:sz w:val="15"/>
              </w:rPr>
              <w:t>用户管理</w:t>
            </w:r>
          </w:p>
        </w:tc>
        <w:tc>
          <w:tcPr>
            <w:tcW w:type="dxa" w:w="5216"/>
          </w:tcPr>
          <w:p>
            <w:pPr>
              <w:spacing w:after="40" w:before="40" w:line="300" w:lineRule="auto"/>
            </w:pPr>
            <w:r/>
            <w:r>
              <w:rPr>
                <w:rFonts w:ascii="微软雅黑" w:hAnsi="微软雅黑" w:eastAsia="微软雅黑"/>
                <w:b w:val="0"/>
                <w:i w:val="0"/>
                <w:color w:val="102826"/>
                <w:sz w:val="15"/>
              </w:rPr>
              <w:t>账号、所属角色、部门与状态集中管理，支持重置密码与停用。</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系统设置</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部门管理</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维护组织架构，数据范围可按部门隔离。</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P1</w:t>
            </w:r>
          </w:p>
        </w:tc>
      </w:tr>
      <w:tr>
        <w:tc>
          <w:tcPr>
            <w:tcW w:type="dxa" w:w="1417"/>
          </w:tcPr>
          <w:p>
            <w:pPr>
              <w:spacing w:after="40" w:before="40" w:line="300" w:lineRule="auto"/>
            </w:pPr>
            <w:r/>
            <w:r>
              <w:rPr>
                <w:rFonts w:ascii="微软雅黑" w:hAnsi="微软雅黑" w:eastAsia="微软雅黑"/>
                <w:b w:val="0"/>
                <w:i w:val="0"/>
                <w:color w:val="102826"/>
                <w:sz w:val="15"/>
              </w:rPr>
              <w:t>系统设置</w:t>
            </w:r>
          </w:p>
        </w:tc>
        <w:tc>
          <w:tcPr>
            <w:tcW w:type="dxa" w:w="1928"/>
          </w:tcPr>
          <w:p>
            <w:pPr>
              <w:spacing w:after="40" w:before="40" w:line="300" w:lineRule="auto"/>
            </w:pPr>
            <w:r/>
            <w:r>
              <w:rPr>
                <w:rFonts w:ascii="微软雅黑" w:hAnsi="微软雅黑" w:eastAsia="微软雅黑"/>
                <w:b w:val="0"/>
                <w:i w:val="0"/>
                <w:color w:val="102826"/>
                <w:sz w:val="15"/>
              </w:rPr>
              <w:t>角色权限</w:t>
            </w:r>
          </w:p>
        </w:tc>
        <w:tc>
          <w:tcPr>
            <w:tcW w:type="dxa" w:w="5216"/>
          </w:tcPr>
          <w:p>
            <w:pPr>
              <w:spacing w:after="40" w:before="40" w:line="300" w:lineRule="auto"/>
            </w:pPr>
            <w:r/>
            <w:r>
              <w:rPr>
                <w:rFonts w:ascii="微软雅黑" w:hAnsi="微软雅黑" w:eastAsia="微软雅黑"/>
                <w:b w:val="0"/>
                <w:i w:val="0"/>
                <w:color w:val="102826"/>
                <w:sz w:val="15"/>
              </w:rPr>
              <w:t>菜单可见性、按钮级权限与数据范围三层控制，改完即时生效。</w:t>
            </w:r>
          </w:p>
        </w:tc>
        <w:tc>
          <w:tcPr>
            <w:tcW w:type="dxa" w:w="737"/>
          </w:tcPr>
          <w:p>
            <w:pPr>
              <w:spacing w:after="40" w:before="40" w:line="300" w:lineRule="auto"/>
            </w:pPr>
            <w:r/>
            <w:r>
              <w:rPr>
                <w:rFonts w:ascii="微软雅黑" w:hAnsi="微软雅黑" w:eastAsia="微软雅黑"/>
                <w:b w:val="0"/>
                <w:i w:val="0"/>
                <w:color w:val="102826"/>
                <w:sz w:val="15"/>
              </w:rPr>
              <w:t>P0</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系统设置</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数据字典</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计价单位、扣款类型、签证原因、违章类型等下拉项由客户自行维护，无需改代码。</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系统设置</w:t>
            </w:r>
          </w:p>
        </w:tc>
        <w:tc>
          <w:tcPr>
            <w:tcW w:type="dxa" w:w="1928"/>
          </w:tcPr>
          <w:p>
            <w:pPr>
              <w:spacing w:after="40" w:before="40" w:line="300" w:lineRule="auto"/>
            </w:pPr>
            <w:r/>
            <w:r>
              <w:rPr>
                <w:rFonts w:ascii="微软雅黑" w:hAnsi="微软雅黑" w:eastAsia="微软雅黑"/>
                <w:b w:val="0"/>
                <w:i w:val="0"/>
                <w:color w:val="102826"/>
                <w:sz w:val="15"/>
              </w:rPr>
              <w:t>打印模板</w:t>
            </w:r>
          </w:p>
        </w:tc>
        <w:tc>
          <w:tcPr>
            <w:tcW w:type="dxa" w:w="5216"/>
          </w:tcPr>
          <w:p>
            <w:pPr>
              <w:spacing w:after="40" w:before="40" w:line="300" w:lineRule="auto"/>
            </w:pPr>
            <w:r/>
            <w:r>
              <w:rPr>
                <w:rFonts w:ascii="微软雅黑" w:hAnsi="微软雅黑" w:eastAsia="微软雅黑"/>
                <w:b w:val="0"/>
                <w:i w:val="0"/>
                <w:color w:val="102826"/>
                <w:sz w:val="15"/>
              </w:rPr>
              <w:t>合同、结算单、对账单与台班单的套打模板，字段与纸张可配。</w:t>
            </w:r>
          </w:p>
        </w:tc>
        <w:tc>
          <w:tcPr>
            <w:tcW w:type="dxa" w:w="737"/>
          </w:tcPr>
          <w:p>
            <w:pPr>
              <w:spacing w:after="40" w:before="40" w:line="300" w:lineRule="auto"/>
            </w:pPr>
            <w:r/>
            <w:r>
              <w:rPr>
                <w:rFonts w:ascii="微软雅黑" w:hAnsi="微软雅黑" w:eastAsia="微软雅黑"/>
                <w:b w:val="0"/>
                <w:i w:val="0"/>
                <w:color w:val="102826"/>
                <w:sz w:val="15"/>
              </w:rPr>
              <w:t>P1</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系统设置</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系统参数</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单号规则、账期、税率、提醒阈值与最少询价家数等参数化配置。</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系统设置</w:t>
            </w:r>
          </w:p>
        </w:tc>
        <w:tc>
          <w:tcPr>
            <w:tcW w:type="dxa" w:w="1928"/>
          </w:tcPr>
          <w:p>
            <w:pPr>
              <w:spacing w:after="40" w:before="40" w:line="300" w:lineRule="auto"/>
            </w:pPr>
            <w:r/>
            <w:r>
              <w:rPr>
                <w:rFonts w:ascii="微软雅黑" w:hAnsi="微软雅黑" w:eastAsia="微软雅黑"/>
                <w:b w:val="0"/>
                <w:i w:val="0"/>
                <w:color w:val="102826"/>
                <w:sz w:val="15"/>
              </w:rPr>
              <w:t>定时任务</w:t>
            </w:r>
          </w:p>
        </w:tc>
        <w:tc>
          <w:tcPr>
            <w:tcW w:type="dxa" w:w="5216"/>
          </w:tcPr>
          <w:p>
            <w:pPr>
              <w:spacing w:after="40" w:before="40" w:line="300" w:lineRule="auto"/>
            </w:pPr>
            <w:r/>
            <w:r>
              <w:rPr>
                <w:rFonts w:ascii="微软雅黑" w:hAnsi="微软雅黑" w:eastAsia="微软雅黑"/>
                <w:b w:val="0"/>
                <w:i w:val="0"/>
                <w:color w:val="102826"/>
                <w:sz w:val="15"/>
              </w:rPr>
              <w:t>预警生成、账龄刷新与报表快照定时执行，可手动触发排查。</w:t>
            </w:r>
          </w:p>
        </w:tc>
        <w:tc>
          <w:tcPr>
            <w:tcW w:type="dxa" w:w="737"/>
          </w:tcPr>
          <w:p>
            <w:pPr>
              <w:spacing w:after="40" w:before="40" w:line="300" w:lineRule="auto"/>
            </w:pPr>
            <w:r/>
            <w:r>
              <w:rPr>
                <w:rFonts w:ascii="微软雅黑" w:hAnsi="微软雅黑" w:eastAsia="微软雅黑"/>
                <w:b w:val="0"/>
                <w:i w:val="0"/>
                <w:color w:val="102826"/>
                <w:sz w:val="15"/>
              </w:rPr>
              <w:t>P1</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系统设置</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开放平台</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接口密钥、回调地址与物联上报入口统一管理。</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P1</w:t>
            </w:r>
          </w:p>
        </w:tc>
      </w:tr>
      <w:tr>
        <w:tc>
          <w:tcPr>
            <w:tcW w:type="dxa" w:w="1417"/>
          </w:tcPr>
          <w:p>
            <w:pPr>
              <w:spacing w:after="40" w:before="40" w:line="300" w:lineRule="auto"/>
            </w:pPr>
            <w:r/>
            <w:r>
              <w:rPr>
                <w:rFonts w:ascii="微软雅黑" w:hAnsi="微软雅黑" w:eastAsia="微软雅黑"/>
                <w:b w:val="0"/>
                <w:i w:val="0"/>
                <w:color w:val="102826"/>
                <w:sz w:val="15"/>
              </w:rPr>
              <w:t>系统设置</w:t>
            </w:r>
          </w:p>
        </w:tc>
        <w:tc>
          <w:tcPr>
            <w:tcW w:type="dxa" w:w="1928"/>
          </w:tcPr>
          <w:p>
            <w:pPr>
              <w:spacing w:after="40" w:before="40" w:line="300" w:lineRule="auto"/>
            </w:pPr>
            <w:r/>
            <w:r>
              <w:rPr>
                <w:rFonts w:ascii="微软雅黑" w:hAnsi="微软雅黑" w:eastAsia="微软雅黑"/>
                <w:b w:val="0"/>
                <w:i w:val="0"/>
                <w:color w:val="102826"/>
                <w:sz w:val="15"/>
              </w:rPr>
              <w:t>安全中心</w:t>
            </w:r>
          </w:p>
        </w:tc>
        <w:tc>
          <w:tcPr>
            <w:tcW w:type="dxa" w:w="5216"/>
          </w:tcPr>
          <w:p>
            <w:pPr>
              <w:spacing w:after="40" w:before="40" w:line="300" w:lineRule="auto"/>
            </w:pPr>
            <w:r/>
            <w:r>
              <w:rPr>
                <w:rFonts w:ascii="微软雅黑" w:hAnsi="微软雅黑" w:eastAsia="微软雅黑"/>
                <w:b w:val="0"/>
                <w:i w:val="0"/>
                <w:color w:val="102826"/>
                <w:sz w:val="15"/>
              </w:rPr>
              <w:t>登录策略、密码强度、会话与异常登录查看。</w:t>
            </w:r>
          </w:p>
        </w:tc>
        <w:tc>
          <w:tcPr>
            <w:tcW w:type="dxa" w:w="737"/>
          </w:tcPr>
          <w:p>
            <w:pPr>
              <w:spacing w:after="40" w:before="40" w:line="300" w:lineRule="auto"/>
            </w:pPr>
            <w:r/>
            <w:r>
              <w:rPr>
                <w:rFonts w:ascii="微软雅黑" w:hAnsi="微软雅黑" w:eastAsia="微软雅黑"/>
                <w:b w:val="0"/>
                <w:i w:val="0"/>
                <w:color w:val="102826"/>
                <w:sz w:val="15"/>
              </w:rPr>
              <w:t>P1</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系统设置</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操作日志</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登录与增删改全量留痕，可按操作人、模块与时间检索。</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P0</w:t>
            </w:r>
          </w:p>
        </w:tc>
      </w:tr>
      <w:tr>
        <w:tc>
          <w:tcPr>
            <w:tcW w:type="dxa" w:w="1417"/>
          </w:tcPr>
          <w:p>
            <w:pPr>
              <w:spacing w:after="40" w:before="40" w:line="300" w:lineRule="auto"/>
            </w:pPr>
            <w:r/>
            <w:r>
              <w:rPr>
                <w:rFonts w:ascii="微软雅黑" w:hAnsi="微软雅黑" w:eastAsia="微软雅黑"/>
                <w:b w:val="0"/>
                <w:i w:val="0"/>
                <w:color w:val="102826"/>
                <w:sz w:val="15"/>
              </w:rPr>
              <w:t>系统设置</w:t>
            </w:r>
          </w:p>
        </w:tc>
        <w:tc>
          <w:tcPr>
            <w:tcW w:type="dxa" w:w="1928"/>
          </w:tcPr>
          <w:p>
            <w:pPr>
              <w:spacing w:after="40" w:before="40" w:line="300" w:lineRule="auto"/>
            </w:pPr>
            <w:r/>
            <w:r>
              <w:rPr>
                <w:rFonts w:ascii="微软雅黑" w:hAnsi="微软雅黑" w:eastAsia="微软雅黑"/>
                <w:b w:val="0"/>
                <w:i w:val="0"/>
                <w:color w:val="102826"/>
                <w:sz w:val="15"/>
              </w:rPr>
              <w:t>修订台账</w:t>
            </w:r>
          </w:p>
        </w:tc>
        <w:tc>
          <w:tcPr>
            <w:tcW w:type="dxa" w:w="5216"/>
          </w:tcPr>
          <w:p>
            <w:pPr>
              <w:spacing w:after="40" w:before="40" w:line="300" w:lineRule="auto"/>
            </w:pPr>
            <w:r/>
            <w:r>
              <w:rPr>
                <w:rFonts w:ascii="微软雅黑" w:hAnsi="微软雅黑" w:eastAsia="微软雅黑"/>
                <w:b w:val="0"/>
                <w:i w:val="0"/>
                <w:color w:val="102826"/>
                <w:sz w:val="15"/>
              </w:rPr>
              <w:t>关键单据变更前后值留痕，支持按单据一路追溯。</w:t>
            </w:r>
          </w:p>
        </w:tc>
        <w:tc>
          <w:tcPr>
            <w:tcW w:type="dxa" w:w="737"/>
          </w:tcPr>
          <w:p>
            <w:pPr>
              <w:spacing w:after="40" w:before="40" w:line="300" w:lineRule="auto"/>
            </w:pPr>
            <w:r/>
            <w:r>
              <w:rPr>
                <w:rFonts w:ascii="微软雅黑" w:hAnsi="微软雅黑" w:eastAsia="微软雅黑"/>
                <w:b w:val="0"/>
                <w:i w:val="0"/>
                <w:color w:val="102826"/>
                <w:sz w:val="15"/>
              </w:rPr>
              <w:t>P1</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系统设置</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双人复核</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关键操作需第二人复核后生效，单人环境可配置豁免。</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P1</w:t>
            </w:r>
          </w:p>
        </w:tc>
      </w:tr>
      <w:tr>
        <w:tc>
          <w:tcPr>
            <w:tcW w:type="dxa" w:w="1417"/>
          </w:tcPr>
          <w:p>
            <w:pPr>
              <w:spacing w:after="40" w:before="40" w:line="300" w:lineRule="auto"/>
            </w:pPr>
            <w:r/>
            <w:r>
              <w:rPr>
                <w:rFonts w:ascii="微软雅黑" w:hAnsi="微软雅黑" w:eastAsia="微软雅黑"/>
                <w:b w:val="0"/>
                <w:i w:val="0"/>
                <w:color w:val="102826"/>
                <w:sz w:val="15"/>
              </w:rPr>
              <w:t>系统设置</w:t>
            </w:r>
          </w:p>
        </w:tc>
        <w:tc>
          <w:tcPr>
            <w:tcW w:type="dxa" w:w="1928"/>
          </w:tcPr>
          <w:p>
            <w:pPr>
              <w:spacing w:after="40" w:before="40" w:line="300" w:lineRule="auto"/>
            </w:pPr>
            <w:r/>
            <w:r>
              <w:rPr>
                <w:rFonts w:ascii="微软雅黑" w:hAnsi="微软雅黑" w:eastAsia="微软雅黑"/>
                <w:b w:val="0"/>
                <w:i w:val="0"/>
                <w:color w:val="102826"/>
                <w:sz w:val="15"/>
              </w:rPr>
              <w:t>开发标准</w:t>
            </w:r>
          </w:p>
        </w:tc>
        <w:tc>
          <w:tcPr>
            <w:tcW w:type="dxa" w:w="5216"/>
          </w:tcPr>
          <w:p>
            <w:pPr>
              <w:spacing w:after="40" w:before="40" w:line="300" w:lineRule="auto"/>
            </w:pPr>
            <w:r/>
            <w:r>
              <w:rPr>
                <w:rFonts w:ascii="微软雅黑" w:hAnsi="微软雅黑" w:eastAsia="微软雅黑"/>
                <w:b w:val="0"/>
                <w:i w:val="0"/>
                <w:color w:val="102826"/>
                <w:sz w:val="15"/>
              </w:rPr>
              <w:t>字段、命名与新增模块的接入规范，团队协作的基准。</w:t>
            </w:r>
          </w:p>
        </w:tc>
        <w:tc>
          <w:tcPr>
            <w:tcW w:type="dxa" w:w="737"/>
          </w:tcPr>
          <w:p>
            <w:pPr>
              <w:spacing w:after="40" w:before="40" w:line="300" w:lineRule="auto"/>
            </w:pPr>
            <w:r/>
            <w:r>
              <w:rPr>
                <w:rFonts w:ascii="微软雅黑" w:hAnsi="微软雅黑" w:eastAsia="微软雅黑"/>
                <w:b w:val="0"/>
                <w:i w:val="0"/>
                <w:color w:val="102826"/>
                <w:sz w:val="15"/>
              </w:rPr>
              <w:t>P1</w:t>
            </w:r>
          </w:p>
        </w:tc>
      </w:tr>
      <w:tr>
        <w:tc>
          <w:tcPr>
            <w:tcW w:type="dxa" w:w="1417"/>
            <w:shd w:val="clear" w:color="auto" w:fill="F2F9F8"/>
          </w:tcPr>
          <w:p>
            <w:pPr>
              <w:spacing w:after="40" w:before="40" w:line="300" w:lineRule="auto"/>
            </w:pPr>
            <w:r/>
            <w:r>
              <w:rPr>
                <w:rFonts w:ascii="微软雅黑" w:hAnsi="微软雅黑" w:eastAsia="微软雅黑"/>
                <w:b w:val="0"/>
                <w:i w:val="0"/>
                <w:color w:val="102826"/>
                <w:sz w:val="15"/>
              </w:rPr>
              <w:t>系统设置</w:t>
            </w:r>
          </w:p>
        </w:tc>
        <w:tc>
          <w:tcPr>
            <w:tcW w:type="dxa" w:w="1928"/>
            <w:shd w:val="clear" w:color="auto" w:fill="F2F9F8"/>
          </w:tcPr>
          <w:p>
            <w:pPr>
              <w:spacing w:after="40" w:before="40" w:line="300" w:lineRule="auto"/>
            </w:pPr>
            <w:r/>
            <w:r>
              <w:rPr>
                <w:rFonts w:ascii="微软雅黑" w:hAnsi="微软雅黑" w:eastAsia="微软雅黑"/>
                <w:b w:val="0"/>
                <w:i w:val="0"/>
                <w:color w:val="102826"/>
                <w:sz w:val="15"/>
              </w:rPr>
              <w:t>关于系统</w:t>
            </w:r>
          </w:p>
        </w:tc>
        <w:tc>
          <w:tcPr>
            <w:tcW w:type="dxa" w:w="5216"/>
            <w:shd w:val="clear" w:color="auto" w:fill="F2F9F8"/>
          </w:tcPr>
          <w:p>
            <w:pPr>
              <w:spacing w:after="40" w:before="40" w:line="300" w:lineRule="auto"/>
            </w:pPr>
            <w:r/>
            <w:r>
              <w:rPr>
                <w:rFonts w:ascii="微软雅黑" w:hAnsi="微软雅黑" w:eastAsia="微软雅黑"/>
                <w:b w:val="0"/>
                <w:i w:val="0"/>
                <w:color w:val="102826"/>
                <w:sz w:val="15"/>
              </w:rPr>
              <w:t>版本、授权范围与技术支持联系方式。</w:t>
            </w:r>
          </w:p>
        </w:tc>
        <w:tc>
          <w:tcPr>
            <w:tcW w:type="dxa" w:w="737"/>
            <w:shd w:val="clear" w:color="auto" w:fill="F2F9F8"/>
          </w:tcPr>
          <w:p>
            <w:pPr>
              <w:spacing w:after="40" w:before="40" w:line="300" w:lineRule="auto"/>
            </w:pPr>
            <w:r/>
            <w:r>
              <w:rPr>
                <w:rFonts w:ascii="微软雅黑" w:hAnsi="微软雅黑" w:eastAsia="微软雅黑"/>
                <w:b w:val="0"/>
                <w:i w:val="0"/>
                <w:color w:val="102826"/>
                <w:sz w:val="15"/>
              </w:rPr>
              <w:t>P1</w:t>
            </w:r>
          </w:p>
        </w:tc>
      </w:tr>
    </w:tbl>
    <w:p>
      <w:pPr>
        <w:spacing w:before="0" w:after="80" w:line="372" w:lineRule="auto"/>
        <w:jc w:val="left"/>
      </w:pPr>
    </w:p>
    <w:p>
      <w:pPr>
        <w:spacing w:before="0" w:after="120" w:line="372" w:lineRule="auto"/>
        <w:jc w:val="left"/>
      </w:pPr>
      <w:r>
        <w:rPr>
          <w:rFonts w:ascii="微软雅黑" w:hAnsi="微软雅黑" w:eastAsia="微软雅黑"/>
          <w:b w:val="0"/>
          <w:i/>
          <w:color w:val="6B7C78"/>
          <w:sz w:val="17"/>
        </w:rPr>
        <w:t>完整的字段口径、关联模块与角色可见性矩阵，见随附《功能清单全景表》Excel。</w:t>
      </w:r>
    </w:p>
    <w:p>
      <w:r>
        <w:br w:type="page"/>
      </w:r>
    </w:p>
    <w:p>
      <w:pPr>
        <w:spacing w:before="360" w:after="80"/>
        <w:pBdr>
          <w:bottom w:val="single" w:sz="10" w:space="4" w:color="0E6E6A"/>
        </w:pBdr>
      </w:pPr>
      <w:r>
        <w:rPr>
          <w:rFonts w:ascii="微软雅黑" w:hAnsi="微软雅黑" w:eastAsia="微软雅黑"/>
          <w:b/>
          <w:i w:val="0"/>
          <w:color w:val="0E6E6A"/>
          <w:sz w:val="36"/>
        </w:rPr>
        <w:t>六  计价方式：10 种口径与结算规则</w:t>
      </w:r>
    </w:p>
    <w:p>
      <w:pPr>
        <w:spacing w:before="0" w:after="120" w:line="372" w:lineRule="auto"/>
        <w:jc w:val="left"/>
      </w:pPr>
      <w:r>
        <w:rPr>
          <w:rFonts w:ascii="微软雅黑" w:hAnsi="微软雅黑" w:eastAsia="微软雅黑"/>
          <w:b w:val="0"/>
          <w:i w:val="0"/>
          <w:color w:val="102826"/>
          <w:sz w:val="21"/>
        </w:rPr>
        <w:t>计价条款与合同分离维护，一份合同可挂多条计价条款，覆盖多设备多工序。</w:t>
      </w:r>
    </w:p>
    <w:tbl>
      <w:tblPr>
        <w:tblStyle w:val="TableGrid"/>
        <w:tblW w:type="auto" w:w="0"/>
        <w:jc w:val="center"/>
        <w:tblLayout w:type="autofit"/>
        <w:tblLook w:firstColumn="1" w:firstRow="1" w:lastColumn="0" w:lastRow="0" w:noHBand="0" w:noVBand="1" w:val="04A0"/>
      </w:tblPr>
      <w:tblGrid>
        <w:gridCol w:w="3137"/>
        <w:gridCol w:w="3137"/>
        <w:gridCol w:w="3137"/>
      </w:tblGrid>
      <w:tr>
        <w:tc>
          <w:tcPr>
            <w:tcW w:type="dxa" w:w="1587"/>
            <w:shd w:val="clear" w:color="auto" w:fill="0E6E6A"/>
          </w:tcPr>
          <w:p>
            <w:pPr>
              <w:spacing w:after="40" w:before="40"/>
              <w:jc w:val="center"/>
            </w:pPr>
            <w:r/>
            <w:r>
              <w:rPr>
                <w:rFonts w:ascii="微软雅黑" w:hAnsi="微软雅黑" w:eastAsia="微软雅黑"/>
                <w:b/>
                <w:i w:val="0"/>
                <w:color w:val="FFFFFF"/>
                <w:sz w:val="18"/>
              </w:rPr>
              <w:t>计价方式</w:t>
            </w:r>
          </w:p>
        </w:tc>
        <w:tc>
          <w:tcPr>
            <w:tcW w:type="dxa" w:w="1928"/>
            <w:shd w:val="clear" w:color="auto" w:fill="0E6E6A"/>
          </w:tcPr>
          <w:p>
            <w:pPr>
              <w:spacing w:after="40" w:before="40"/>
              <w:jc w:val="center"/>
            </w:pPr>
            <w:r/>
            <w:r>
              <w:rPr>
                <w:rFonts w:ascii="微软雅黑" w:hAnsi="微软雅黑" w:eastAsia="微软雅黑"/>
                <w:b/>
                <w:i w:val="0"/>
                <w:color w:val="FFFFFF"/>
                <w:sz w:val="18"/>
              </w:rPr>
              <w:t>计量口径</w:t>
            </w:r>
          </w:p>
        </w:tc>
        <w:tc>
          <w:tcPr>
            <w:tcW w:type="dxa" w:w="5783"/>
            <w:shd w:val="clear" w:color="auto" w:fill="0E6E6A"/>
          </w:tcPr>
          <w:p>
            <w:pPr>
              <w:spacing w:after="40" w:before="40"/>
              <w:jc w:val="center"/>
            </w:pPr>
            <w:r/>
            <w:r>
              <w:rPr>
                <w:rFonts w:ascii="微软雅黑" w:hAnsi="微软雅黑" w:eastAsia="微软雅黑"/>
                <w:b/>
                <w:i w:val="0"/>
                <w:color w:val="FFFFFF"/>
                <w:sz w:val="18"/>
              </w:rPr>
              <w:t>适用场景</w:t>
            </w:r>
          </w:p>
        </w:tc>
      </w:tr>
      <w:tr>
        <w:tc>
          <w:tcPr>
            <w:tcW w:type="dxa" w:w="1587"/>
          </w:tcPr>
          <w:p>
            <w:pPr>
              <w:spacing w:after="40" w:before="40" w:line="300" w:lineRule="auto"/>
            </w:pPr>
            <w:r/>
            <w:r>
              <w:rPr>
                <w:rFonts w:ascii="微软雅黑" w:hAnsi="微软雅黑" w:eastAsia="微软雅黑"/>
                <w:b w:val="0"/>
                <w:i w:val="0"/>
                <w:color w:val="102826"/>
                <w:sz w:val="17"/>
              </w:rPr>
              <w:t>包月</w:t>
            </w:r>
          </w:p>
        </w:tc>
        <w:tc>
          <w:tcPr>
            <w:tcW w:type="dxa" w:w="1928"/>
          </w:tcPr>
          <w:p>
            <w:pPr>
              <w:spacing w:after="40" w:before="40" w:line="300" w:lineRule="auto"/>
            </w:pPr>
            <w:r/>
            <w:r>
              <w:rPr>
                <w:rFonts w:ascii="微软雅黑" w:hAnsi="微软雅黑" w:eastAsia="微软雅黑"/>
                <w:b w:val="0"/>
                <w:i w:val="0"/>
                <w:color w:val="102826"/>
                <w:sz w:val="17"/>
              </w:rPr>
              <w:t>30 天/月</w:t>
            </w:r>
          </w:p>
        </w:tc>
        <w:tc>
          <w:tcPr>
            <w:tcW w:type="dxa" w:w="5783"/>
          </w:tcPr>
          <w:p>
            <w:pPr>
              <w:spacing w:after="40" w:before="40" w:line="300" w:lineRule="auto"/>
            </w:pPr>
            <w:r/>
            <w:r>
              <w:rPr>
                <w:rFonts w:ascii="微软雅黑" w:hAnsi="微软雅黑" w:eastAsia="微软雅黑"/>
                <w:b w:val="0"/>
                <w:i w:val="0"/>
                <w:color w:val="102826"/>
                <w:sz w:val="17"/>
              </w:rPr>
              <w:t>长期进场设备，含约定台时，超量另计</w:t>
            </w:r>
          </w:p>
        </w:tc>
      </w:tr>
      <w:tr>
        <w:tc>
          <w:tcPr>
            <w:tcW w:type="dxa" w:w="1587"/>
            <w:shd w:val="clear" w:color="auto" w:fill="F2F9F8"/>
          </w:tcPr>
          <w:p>
            <w:pPr>
              <w:spacing w:after="40" w:before="40" w:line="300" w:lineRule="auto"/>
            </w:pPr>
            <w:r/>
            <w:r>
              <w:rPr>
                <w:rFonts w:ascii="微软雅黑" w:hAnsi="微软雅黑" w:eastAsia="微软雅黑"/>
                <w:b w:val="0"/>
                <w:i w:val="0"/>
                <w:color w:val="102826"/>
                <w:sz w:val="17"/>
              </w:rPr>
              <w:t>台班</w:t>
            </w:r>
          </w:p>
        </w:tc>
        <w:tc>
          <w:tcPr>
            <w:tcW w:type="dxa" w:w="1928"/>
            <w:shd w:val="clear" w:color="auto" w:fill="F2F9F8"/>
          </w:tcPr>
          <w:p>
            <w:pPr>
              <w:spacing w:after="40" w:before="40" w:line="300" w:lineRule="auto"/>
            </w:pPr>
            <w:r/>
            <w:r>
              <w:rPr>
                <w:rFonts w:ascii="微软雅黑" w:hAnsi="微软雅黑" w:eastAsia="微软雅黑"/>
                <w:b w:val="0"/>
                <w:i w:val="0"/>
                <w:color w:val="102826"/>
                <w:sz w:val="17"/>
              </w:rPr>
              <w:t>8 小时/台班</w:t>
            </w:r>
          </w:p>
        </w:tc>
        <w:tc>
          <w:tcPr>
            <w:tcW w:type="dxa" w:w="5783"/>
            <w:shd w:val="clear" w:color="auto" w:fill="F2F9F8"/>
          </w:tcPr>
          <w:p>
            <w:pPr>
              <w:spacing w:after="40" w:before="40" w:line="300" w:lineRule="auto"/>
            </w:pPr>
            <w:r/>
            <w:r>
              <w:rPr>
                <w:rFonts w:ascii="微软雅黑" w:hAnsi="微软雅黑" w:eastAsia="微软雅黑"/>
                <w:b w:val="0"/>
                <w:i w:val="0"/>
                <w:color w:val="102826"/>
                <w:sz w:val="17"/>
              </w:rPr>
              <w:t>土方、吊装主力计价方式，超时按小时加收</w:t>
            </w:r>
          </w:p>
        </w:tc>
      </w:tr>
      <w:tr>
        <w:tc>
          <w:tcPr>
            <w:tcW w:type="dxa" w:w="1587"/>
          </w:tcPr>
          <w:p>
            <w:pPr>
              <w:spacing w:after="40" w:before="40" w:line="300" w:lineRule="auto"/>
            </w:pPr>
            <w:r/>
            <w:r>
              <w:rPr>
                <w:rFonts w:ascii="微软雅黑" w:hAnsi="微软雅黑" w:eastAsia="微软雅黑"/>
                <w:b w:val="0"/>
                <w:i w:val="0"/>
                <w:color w:val="102826"/>
                <w:sz w:val="17"/>
              </w:rPr>
              <w:t>立方</w:t>
            </w:r>
          </w:p>
        </w:tc>
        <w:tc>
          <w:tcPr>
            <w:tcW w:type="dxa" w:w="1928"/>
          </w:tcPr>
          <w:p>
            <w:pPr>
              <w:spacing w:after="40" w:before="40" w:line="300" w:lineRule="auto"/>
            </w:pPr>
            <w:r/>
            <w:r>
              <w:rPr>
                <w:rFonts w:ascii="微软雅黑" w:hAnsi="微软雅黑" w:eastAsia="微软雅黑"/>
                <w:b w:val="0"/>
                <w:i w:val="0"/>
                <w:color w:val="102826"/>
                <w:sz w:val="17"/>
              </w:rPr>
              <w:t>元/m³</w:t>
            </w:r>
          </w:p>
        </w:tc>
        <w:tc>
          <w:tcPr>
            <w:tcW w:type="dxa" w:w="5783"/>
          </w:tcPr>
          <w:p>
            <w:pPr>
              <w:spacing w:after="40" w:before="40" w:line="300" w:lineRule="auto"/>
            </w:pPr>
            <w:r/>
            <w:r>
              <w:rPr>
                <w:rFonts w:ascii="微软雅黑" w:hAnsi="微软雅黑" w:eastAsia="微软雅黑"/>
                <w:b w:val="0"/>
                <w:i w:val="0"/>
                <w:color w:val="102826"/>
                <w:sz w:val="17"/>
              </w:rPr>
              <w:t>土方开挖、回填按实方计量</w:t>
            </w:r>
          </w:p>
        </w:tc>
      </w:tr>
      <w:tr>
        <w:tc>
          <w:tcPr>
            <w:tcW w:type="dxa" w:w="1587"/>
            <w:shd w:val="clear" w:color="auto" w:fill="F2F9F8"/>
          </w:tcPr>
          <w:p>
            <w:pPr>
              <w:spacing w:after="40" w:before="40" w:line="300" w:lineRule="auto"/>
            </w:pPr>
            <w:r/>
            <w:r>
              <w:rPr>
                <w:rFonts w:ascii="微软雅黑" w:hAnsi="微软雅黑" w:eastAsia="微软雅黑"/>
                <w:b w:val="0"/>
                <w:i w:val="0"/>
                <w:color w:val="102826"/>
                <w:sz w:val="17"/>
              </w:rPr>
              <w:t>吨次</w:t>
            </w:r>
          </w:p>
        </w:tc>
        <w:tc>
          <w:tcPr>
            <w:tcW w:type="dxa" w:w="1928"/>
            <w:shd w:val="clear" w:color="auto" w:fill="F2F9F8"/>
          </w:tcPr>
          <w:p>
            <w:pPr>
              <w:spacing w:after="40" w:before="40" w:line="300" w:lineRule="auto"/>
            </w:pPr>
            <w:r/>
            <w:r>
              <w:rPr>
                <w:rFonts w:ascii="微软雅黑" w:hAnsi="微软雅黑" w:eastAsia="微软雅黑"/>
                <w:b w:val="0"/>
                <w:i w:val="0"/>
                <w:color w:val="102826"/>
                <w:sz w:val="17"/>
              </w:rPr>
              <w:t>元/吨</w:t>
            </w:r>
          </w:p>
        </w:tc>
        <w:tc>
          <w:tcPr>
            <w:tcW w:type="dxa" w:w="5783"/>
            <w:shd w:val="clear" w:color="auto" w:fill="F2F9F8"/>
          </w:tcPr>
          <w:p>
            <w:pPr>
              <w:spacing w:after="40" w:before="40" w:line="300" w:lineRule="auto"/>
            </w:pPr>
            <w:r/>
            <w:r>
              <w:rPr>
                <w:rFonts w:ascii="微软雅黑" w:hAnsi="微软雅黑" w:eastAsia="微软雅黑"/>
                <w:b w:val="0"/>
                <w:i w:val="0"/>
                <w:color w:val="102826"/>
                <w:sz w:val="17"/>
              </w:rPr>
              <w:t>砂石、钢构件运输与吊装</w:t>
            </w:r>
          </w:p>
        </w:tc>
      </w:tr>
      <w:tr>
        <w:tc>
          <w:tcPr>
            <w:tcW w:type="dxa" w:w="1587"/>
          </w:tcPr>
          <w:p>
            <w:pPr>
              <w:spacing w:after="40" w:before="40" w:line="300" w:lineRule="auto"/>
            </w:pPr>
            <w:r/>
            <w:r>
              <w:rPr>
                <w:rFonts w:ascii="微软雅黑" w:hAnsi="微软雅黑" w:eastAsia="微软雅黑"/>
                <w:b w:val="0"/>
                <w:i w:val="0"/>
                <w:color w:val="102826"/>
                <w:sz w:val="17"/>
              </w:rPr>
              <w:t>分工序</w:t>
            </w:r>
          </w:p>
        </w:tc>
        <w:tc>
          <w:tcPr>
            <w:tcW w:type="dxa" w:w="1928"/>
          </w:tcPr>
          <w:p>
            <w:pPr>
              <w:spacing w:after="40" w:before="40" w:line="300" w:lineRule="auto"/>
            </w:pPr>
            <w:r/>
            <w:r>
              <w:rPr>
                <w:rFonts w:ascii="微软雅黑" w:hAnsi="微软雅黑" w:eastAsia="微软雅黑"/>
                <w:b w:val="0"/>
                <w:i w:val="0"/>
                <w:color w:val="102826"/>
                <w:sz w:val="17"/>
              </w:rPr>
              <w:t>按工序分别定价</w:t>
            </w:r>
          </w:p>
        </w:tc>
        <w:tc>
          <w:tcPr>
            <w:tcW w:type="dxa" w:w="5783"/>
          </w:tcPr>
          <w:p>
            <w:pPr>
              <w:spacing w:after="40" w:before="40" w:line="300" w:lineRule="auto"/>
            </w:pPr>
            <w:r/>
            <w:r>
              <w:rPr>
                <w:rFonts w:ascii="微软雅黑" w:hAnsi="微软雅黑" w:eastAsia="微软雅黑"/>
                <w:b w:val="0"/>
                <w:i w:val="0"/>
                <w:color w:val="102826"/>
                <w:sz w:val="17"/>
              </w:rPr>
              <w:t>多工序联合作业，工序间单价独立</w:t>
            </w:r>
          </w:p>
        </w:tc>
      </w:tr>
      <w:tr>
        <w:tc>
          <w:tcPr>
            <w:tcW w:type="dxa" w:w="1587"/>
            <w:shd w:val="clear" w:color="auto" w:fill="F2F9F8"/>
          </w:tcPr>
          <w:p>
            <w:pPr>
              <w:spacing w:after="40" w:before="40" w:line="300" w:lineRule="auto"/>
            </w:pPr>
            <w:r/>
            <w:r>
              <w:rPr>
                <w:rFonts w:ascii="微软雅黑" w:hAnsi="微软雅黑" w:eastAsia="微软雅黑"/>
                <w:b w:val="0"/>
                <w:i w:val="0"/>
                <w:color w:val="102826"/>
                <w:sz w:val="17"/>
              </w:rPr>
              <w:t>起重</w:t>
            </w:r>
          </w:p>
        </w:tc>
        <w:tc>
          <w:tcPr>
            <w:tcW w:type="dxa" w:w="1928"/>
            <w:shd w:val="clear" w:color="auto" w:fill="F2F9F8"/>
          </w:tcPr>
          <w:p>
            <w:pPr>
              <w:spacing w:after="40" w:before="40" w:line="300" w:lineRule="auto"/>
            </w:pPr>
            <w:r/>
            <w:r>
              <w:rPr>
                <w:rFonts w:ascii="微软雅黑" w:hAnsi="微软雅黑" w:eastAsia="微软雅黑"/>
                <w:b w:val="0"/>
                <w:i w:val="0"/>
                <w:color w:val="102826"/>
                <w:sz w:val="17"/>
              </w:rPr>
              <w:t>按吊装工况</w:t>
            </w:r>
          </w:p>
        </w:tc>
        <w:tc>
          <w:tcPr>
            <w:tcW w:type="dxa" w:w="5783"/>
            <w:shd w:val="clear" w:color="auto" w:fill="F2F9F8"/>
          </w:tcPr>
          <w:p>
            <w:pPr>
              <w:spacing w:after="40" w:before="40" w:line="300" w:lineRule="auto"/>
            </w:pPr>
            <w:r/>
            <w:r>
              <w:rPr>
                <w:rFonts w:ascii="微软雅黑" w:hAnsi="微软雅黑" w:eastAsia="微软雅黑"/>
                <w:b w:val="0"/>
                <w:i w:val="0"/>
                <w:color w:val="102826"/>
                <w:sz w:val="17"/>
              </w:rPr>
              <w:t>按吨位 + 幅度 + 台时组合计价</w:t>
            </w:r>
          </w:p>
        </w:tc>
      </w:tr>
      <w:tr>
        <w:tc>
          <w:tcPr>
            <w:tcW w:type="dxa" w:w="1587"/>
          </w:tcPr>
          <w:p>
            <w:pPr>
              <w:spacing w:after="40" w:before="40" w:line="300" w:lineRule="auto"/>
            </w:pPr>
            <w:r/>
            <w:r>
              <w:rPr>
                <w:rFonts w:ascii="微软雅黑" w:hAnsi="微软雅黑" w:eastAsia="微软雅黑"/>
                <w:b w:val="0"/>
                <w:i w:val="0"/>
                <w:color w:val="102826"/>
                <w:sz w:val="17"/>
              </w:rPr>
              <w:t>清单</w:t>
            </w:r>
          </w:p>
        </w:tc>
        <w:tc>
          <w:tcPr>
            <w:tcW w:type="dxa" w:w="1928"/>
          </w:tcPr>
          <w:p>
            <w:pPr>
              <w:spacing w:after="40" w:before="40" w:line="300" w:lineRule="auto"/>
            </w:pPr>
            <w:r/>
            <w:r>
              <w:rPr>
                <w:rFonts w:ascii="微软雅黑" w:hAnsi="微软雅黑" w:eastAsia="微软雅黑"/>
                <w:b w:val="0"/>
                <w:i w:val="0"/>
                <w:color w:val="102826"/>
                <w:sz w:val="17"/>
              </w:rPr>
              <w:t>按清单单价 × 工程量</w:t>
            </w:r>
          </w:p>
        </w:tc>
        <w:tc>
          <w:tcPr>
            <w:tcW w:type="dxa" w:w="5783"/>
          </w:tcPr>
          <w:p>
            <w:pPr>
              <w:spacing w:after="40" w:before="40" w:line="300" w:lineRule="auto"/>
            </w:pPr>
            <w:r/>
            <w:r>
              <w:rPr>
                <w:rFonts w:ascii="微软雅黑" w:hAnsi="微软雅黑" w:eastAsia="微软雅黑"/>
                <w:b w:val="0"/>
                <w:i w:val="0"/>
                <w:color w:val="102826"/>
                <w:sz w:val="17"/>
              </w:rPr>
              <w:t>措施项目与零星工程结算</w:t>
            </w:r>
          </w:p>
        </w:tc>
      </w:tr>
      <w:tr>
        <w:tc>
          <w:tcPr>
            <w:tcW w:type="dxa" w:w="1587"/>
            <w:shd w:val="clear" w:color="auto" w:fill="F2F9F8"/>
          </w:tcPr>
          <w:p>
            <w:pPr>
              <w:spacing w:after="40" w:before="40" w:line="300" w:lineRule="auto"/>
            </w:pPr>
            <w:r/>
            <w:r>
              <w:rPr>
                <w:rFonts w:ascii="微软雅黑" w:hAnsi="微软雅黑" w:eastAsia="微软雅黑"/>
                <w:b w:val="0"/>
                <w:i w:val="0"/>
                <w:color w:val="102826"/>
                <w:sz w:val="17"/>
              </w:rPr>
              <w:t>米/根</w:t>
            </w:r>
          </w:p>
        </w:tc>
        <w:tc>
          <w:tcPr>
            <w:tcW w:type="dxa" w:w="1928"/>
            <w:shd w:val="clear" w:color="auto" w:fill="F2F9F8"/>
          </w:tcPr>
          <w:p>
            <w:pPr>
              <w:spacing w:after="40" w:before="40" w:line="300" w:lineRule="auto"/>
            </w:pPr>
            <w:r/>
            <w:r>
              <w:rPr>
                <w:rFonts w:ascii="微软雅黑" w:hAnsi="微软雅黑" w:eastAsia="微软雅黑"/>
                <w:b w:val="0"/>
                <w:i w:val="0"/>
                <w:color w:val="102826"/>
                <w:sz w:val="17"/>
              </w:rPr>
              <w:t>元/m、元/根</w:t>
            </w:r>
          </w:p>
        </w:tc>
        <w:tc>
          <w:tcPr>
            <w:tcW w:type="dxa" w:w="5783"/>
            <w:shd w:val="clear" w:color="auto" w:fill="F2F9F8"/>
          </w:tcPr>
          <w:p>
            <w:pPr>
              <w:spacing w:after="40" w:before="40" w:line="300" w:lineRule="auto"/>
            </w:pPr>
            <w:r/>
            <w:r>
              <w:rPr>
                <w:rFonts w:ascii="微软雅黑" w:hAnsi="微软雅黑" w:eastAsia="微软雅黑"/>
                <w:b w:val="0"/>
                <w:i w:val="0"/>
                <w:color w:val="102826"/>
                <w:sz w:val="17"/>
              </w:rPr>
              <w:t>桩基、管道、护栏按延米或根数计价</w:t>
            </w:r>
          </w:p>
        </w:tc>
      </w:tr>
      <w:tr>
        <w:tc>
          <w:tcPr>
            <w:tcW w:type="dxa" w:w="1587"/>
          </w:tcPr>
          <w:p>
            <w:pPr>
              <w:spacing w:after="40" w:before="40" w:line="300" w:lineRule="auto"/>
            </w:pPr>
            <w:r/>
            <w:r>
              <w:rPr>
                <w:rFonts w:ascii="微软雅黑" w:hAnsi="微软雅黑" w:eastAsia="微软雅黑"/>
                <w:b w:val="0"/>
                <w:i w:val="0"/>
                <w:color w:val="102826"/>
                <w:sz w:val="17"/>
              </w:rPr>
              <w:t>台时</w:t>
            </w:r>
          </w:p>
        </w:tc>
        <w:tc>
          <w:tcPr>
            <w:tcW w:type="dxa" w:w="1928"/>
          </w:tcPr>
          <w:p>
            <w:pPr>
              <w:spacing w:after="40" w:before="40" w:line="300" w:lineRule="auto"/>
            </w:pPr>
            <w:r/>
            <w:r>
              <w:rPr>
                <w:rFonts w:ascii="微软雅黑" w:hAnsi="微软雅黑" w:eastAsia="微软雅黑"/>
                <w:b w:val="0"/>
                <w:i w:val="0"/>
                <w:color w:val="102826"/>
                <w:sz w:val="17"/>
              </w:rPr>
              <w:t>元/小时</w:t>
            </w:r>
          </w:p>
        </w:tc>
        <w:tc>
          <w:tcPr>
            <w:tcW w:type="dxa" w:w="5783"/>
          </w:tcPr>
          <w:p>
            <w:pPr>
              <w:spacing w:after="40" w:before="40" w:line="300" w:lineRule="auto"/>
            </w:pPr>
            <w:r/>
            <w:r>
              <w:rPr>
                <w:rFonts w:ascii="微软雅黑" w:hAnsi="微软雅黑" w:eastAsia="微软雅黑"/>
                <w:b w:val="0"/>
                <w:i w:val="0"/>
                <w:color w:val="102826"/>
                <w:sz w:val="17"/>
              </w:rPr>
              <w:t>零散用工按实际作业小时计价</w:t>
            </w:r>
          </w:p>
        </w:tc>
      </w:tr>
      <w:tr>
        <w:tc>
          <w:tcPr>
            <w:tcW w:type="dxa" w:w="1587"/>
            <w:shd w:val="clear" w:color="auto" w:fill="F2F9F8"/>
          </w:tcPr>
          <w:p>
            <w:pPr>
              <w:spacing w:after="40" w:before="40" w:line="300" w:lineRule="auto"/>
            </w:pPr>
            <w:r/>
            <w:r>
              <w:rPr>
                <w:rFonts w:ascii="微软雅黑" w:hAnsi="微软雅黑" w:eastAsia="微软雅黑"/>
                <w:b w:val="0"/>
                <w:i w:val="0"/>
                <w:color w:val="102826"/>
                <w:sz w:val="17"/>
              </w:rPr>
              <w:t>一口价</w:t>
            </w:r>
          </w:p>
        </w:tc>
        <w:tc>
          <w:tcPr>
            <w:tcW w:type="dxa" w:w="1928"/>
            <w:shd w:val="clear" w:color="auto" w:fill="F2F9F8"/>
          </w:tcPr>
          <w:p>
            <w:pPr>
              <w:spacing w:after="40" w:before="40" w:line="300" w:lineRule="auto"/>
            </w:pPr>
            <w:r/>
            <w:r>
              <w:rPr>
                <w:rFonts w:ascii="微软雅黑" w:hAnsi="微软雅黑" w:eastAsia="微软雅黑"/>
                <w:b w:val="0"/>
                <w:i w:val="0"/>
                <w:color w:val="102826"/>
                <w:sz w:val="17"/>
              </w:rPr>
              <w:t>元/项</w:t>
            </w:r>
          </w:p>
        </w:tc>
        <w:tc>
          <w:tcPr>
            <w:tcW w:type="dxa" w:w="5783"/>
            <w:shd w:val="clear" w:color="auto" w:fill="F2F9F8"/>
          </w:tcPr>
          <w:p>
            <w:pPr>
              <w:spacing w:after="40" w:before="40" w:line="300" w:lineRule="auto"/>
            </w:pPr>
            <w:r/>
            <w:r>
              <w:rPr>
                <w:rFonts w:ascii="微软雅黑" w:hAnsi="微软雅黑" w:eastAsia="微软雅黑"/>
                <w:b w:val="0"/>
                <w:i w:val="0"/>
                <w:color w:val="102826"/>
                <w:sz w:val="17"/>
              </w:rPr>
              <w:t>小型零星工程整体包干</w:t>
            </w:r>
          </w:p>
        </w:tc>
      </w:tr>
    </w:tbl>
    <w:p>
      <w:pPr>
        <w:spacing w:before="0" w:after="120" w:line="372" w:lineRule="auto"/>
        <w:jc w:val="left"/>
      </w:pPr>
    </w:p>
    <w:p>
      <w:pPr>
        <w:spacing w:before="240" w:after="60"/>
      </w:pPr>
      <w:r>
        <w:rPr>
          <w:rFonts w:ascii="微软雅黑" w:hAnsi="微软雅黑" w:eastAsia="微软雅黑"/>
          <w:b/>
          <w:i w:val="0"/>
          <w:color w:val="102826"/>
          <w:sz w:val="25"/>
        </w:rPr>
        <w:t>6.1 计价规则要点</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超时计费：台班含约定台时，超出部分按小时单价加收，规则可在计价条款配置。</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燃油承担：带人施工需明确油料由甲方或乙方承担，直接影响单机成本口径。</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多工序组合：同一台设备在一个项目上可能同时存在台班与立方两种计价，按工序分别结算。</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变更与签证：设计变更、临时增项通过签证单进入结算，不直接修改原合同金额。</w:t>
      </w:r>
    </w:p>
    <w:p>
      <w:r>
        <w:br w:type="page"/>
      </w:r>
    </w:p>
    <w:p>
      <w:pPr>
        <w:spacing w:before="360" w:after="80"/>
        <w:pBdr>
          <w:bottom w:val="single" w:sz="10" w:space="4" w:color="0E6E6A"/>
        </w:pBdr>
      </w:pPr>
      <w:r>
        <w:rPr>
          <w:rFonts w:ascii="微软雅黑" w:hAnsi="微软雅黑" w:eastAsia="微软雅黑"/>
          <w:b/>
          <w:i w:val="0"/>
          <w:color w:val="0E6E6A"/>
          <w:sz w:val="36"/>
        </w:rPr>
        <w:t>七  角色与权限：15 个预置角色</w:t>
      </w:r>
    </w:p>
    <w:p>
      <w:pPr>
        <w:spacing w:before="0" w:after="120" w:line="372" w:lineRule="auto"/>
        <w:jc w:val="left"/>
      </w:pPr>
      <w:r>
        <w:rPr>
          <w:rFonts w:ascii="微软雅黑" w:hAnsi="微软雅黑" w:eastAsia="微软雅黑"/>
          <w:b w:val="0"/>
          <w:i w:val="0"/>
          <w:color w:val="102826"/>
          <w:sz w:val="21"/>
        </w:rPr>
        <w:t>登录后侧栏菜单按角色裁剪，数据范围按组织与项目隔离，操作留痕可审计。</w:t>
      </w:r>
    </w:p>
    <w:tbl>
      <w:tblPr>
        <w:tblStyle w:val="TableGrid"/>
        <w:tblW w:type="auto" w:w="0"/>
        <w:jc w:val="center"/>
        <w:tblLayout w:type="autofit"/>
        <w:tblLook w:firstColumn="1" w:firstRow="1" w:lastColumn="0" w:lastRow="0" w:noHBand="0" w:noVBand="1" w:val="04A0"/>
      </w:tblPr>
      <w:tblGrid>
        <w:gridCol w:w="4706"/>
        <w:gridCol w:w="4706"/>
      </w:tblGrid>
      <w:tr>
        <w:tc>
          <w:tcPr>
            <w:tcW w:type="dxa" w:w="2381"/>
            <w:shd w:val="clear" w:color="auto" w:fill="0E6E6A"/>
          </w:tcPr>
          <w:p>
            <w:pPr>
              <w:spacing w:after="40" w:before="40"/>
              <w:jc w:val="center"/>
            </w:pPr>
            <w:r/>
            <w:r>
              <w:rPr>
                <w:rFonts w:ascii="微软雅黑" w:hAnsi="微软雅黑" w:eastAsia="微软雅黑"/>
                <w:b/>
                <w:i w:val="0"/>
                <w:color w:val="FFFFFF"/>
                <w:sz w:val="19"/>
              </w:rPr>
              <w:t>角色</w:t>
            </w:r>
          </w:p>
        </w:tc>
        <w:tc>
          <w:tcPr>
            <w:tcW w:type="dxa" w:w="6917"/>
            <w:shd w:val="clear" w:color="auto" w:fill="0E6E6A"/>
          </w:tcPr>
          <w:p>
            <w:pPr>
              <w:spacing w:after="40" w:before="40"/>
              <w:jc w:val="center"/>
            </w:pPr>
            <w:r/>
            <w:r>
              <w:rPr>
                <w:rFonts w:ascii="微软雅黑" w:hAnsi="微软雅黑" w:eastAsia="微软雅黑"/>
                <w:b/>
                <w:i w:val="0"/>
                <w:color w:val="FFFFFF"/>
                <w:sz w:val="19"/>
              </w:rPr>
              <w:t>可见范围</w:t>
            </w:r>
          </w:p>
        </w:tc>
      </w:tr>
      <w:tr>
        <w:tc>
          <w:tcPr>
            <w:tcW w:type="dxa" w:w="2381"/>
          </w:tcPr>
          <w:p>
            <w:pPr>
              <w:spacing w:after="40" w:before="40" w:line="300" w:lineRule="auto"/>
            </w:pPr>
            <w:r/>
            <w:r>
              <w:rPr>
                <w:rFonts w:ascii="微软雅黑" w:hAnsi="微软雅黑" w:eastAsia="微软雅黑"/>
                <w:b w:val="0"/>
                <w:i w:val="0"/>
                <w:color w:val="102826"/>
                <w:sz w:val="18"/>
              </w:rPr>
              <w:t>系统管理员</w:t>
            </w:r>
          </w:p>
        </w:tc>
        <w:tc>
          <w:tcPr>
            <w:tcW w:type="dxa" w:w="6917"/>
          </w:tcPr>
          <w:p>
            <w:pPr>
              <w:spacing w:after="40" w:before="40" w:line="300" w:lineRule="auto"/>
            </w:pPr>
            <w:r/>
            <w:r>
              <w:rPr>
                <w:rFonts w:ascii="微软雅黑" w:hAnsi="微软雅黑" w:eastAsia="微软雅黑"/>
                <w:b w:val="0"/>
                <w:i w:val="0"/>
                <w:color w:val="102826"/>
                <w:sz w:val="18"/>
              </w:rPr>
              <w:t>全模块 + 运营大屏 + 系统配置与备份</w:t>
            </w:r>
          </w:p>
        </w:tc>
      </w:tr>
      <w:tr>
        <w:tc>
          <w:tcPr>
            <w:tcW w:type="dxa" w:w="2381"/>
            <w:shd w:val="clear" w:color="auto" w:fill="F2F9F8"/>
          </w:tcPr>
          <w:p>
            <w:pPr>
              <w:spacing w:after="40" w:before="40" w:line="300" w:lineRule="auto"/>
            </w:pPr>
            <w:r/>
            <w:r>
              <w:rPr>
                <w:rFonts w:ascii="微软雅黑" w:hAnsi="微软雅黑" w:eastAsia="微软雅黑"/>
                <w:b w:val="0"/>
                <w:i w:val="0"/>
                <w:color w:val="102826"/>
                <w:sz w:val="18"/>
              </w:rPr>
              <w:t>老板</w:t>
            </w:r>
          </w:p>
        </w:tc>
        <w:tc>
          <w:tcPr>
            <w:tcW w:type="dxa" w:w="6917"/>
            <w:shd w:val="clear" w:color="auto" w:fill="F2F9F8"/>
          </w:tcPr>
          <w:p>
            <w:pPr>
              <w:spacing w:after="40" w:before="40" w:line="300" w:lineRule="auto"/>
            </w:pPr>
            <w:r/>
            <w:r>
              <w:rPr>
                <w:rFonts w:ascii="微软雅黑" w:hAnsi="微软雅黑" w:eastAsia="微软雅黑"/>
                <w:b w:val="0"/>
                <w:i w:val="0"/>
                <w:color w:val="102826"/>
                <w:sz w:val="18"/>
              </w:rPr>
              <w:t>经营全貌、单机回报、项目毛利、应收与资金总览</w:t>
            </w:r>
          </w:p>
        </w:tc>
      </w:tr>
      <w:tr>
        <w:tc>
          <w:tcPr>
            <w:tcW w:type="dxa" w:w="2381"/>
          </w:tcPr>
          <w:p>
            <w:pPr>
              <w:spacing w:after="40" w:before="40" w:line="300" w:lineRule="auto"/>
            </w:pPr>
            <w:r/>
            <w:r>
              <w:rPr>
                <w:rFonts w:ascii="微软雅黑" w:hAnsi="微软雅黑" w:eastAsia="微软雅黑"/>
                <w:b w:val="0"/>
                <w:i w:val="0"/>
                <w:color w:val="102826"/>
                <w:sz w:val="18"/>
              </w:rPr>
              <w:t>总经理</w:t>
            </w:r>
          </w:p>
        </w:tc>
        <w:tc>
          <w:tcPr>
            <w:tcW w:type="dxa" w:w="6917"/>
          </w:tcPr>
          <w:p>
            <w:pPr>
              <w:spacing w:after="40" w:before="40" w:line="300" w:lineRule="auto"/>
            </w:pPr>
            <w:r/>
            <w:r>
              <w:rPr>
                <w:rFonts w:ascii="微软雅黑" w:hAnsi="微软雅黑" w:eastAsia="微软雅黑"/>
                <w:b w:val="0"/>
                <w:i w:val="0"/>
                <w:color w:val="102826"/>
                <w:sz w:val="18"/>
              </w:rPr>
              <w:t>全业务管理，运营大屏、项目毛利与审批</w:t>
            </w:r>
          </w:p>
        </w:tc>
      </w:tr>
      <w:tr>
        <w:tc>
          <w:tcPr>
            <w:tcW w:type="dxa" w:w="2381"/>
            <w:shd w:val="clear" w:color="auto" w:fill="F2F9F8"/>
          </w:tcPr>
          <w:p>
            <w:pPr>
              <w:spacing w:after="40" w:before="40" w:line="300" w:lineRule="auto"/>
            </w:pPr>
            <w:r/>
            <w:r>
              <w:rPr>
                <w:rFonts w:ascii="微软雅黑" w:hAnsi="微软雅黑" w:eastAsia="微软雅黑"/>
                <w:b w:val="0"/>
                <w:i w:val="0"/>
                <w:color w:val="102826"/>
                <w:sz w:val="18"/>
              </w:rPr>
              <w:t>财务主管</w:t>
            </w:r>
          </w:p>
        </w:tc>
        <w:tc>
          <w:tcPr>
            <w:tcW w:type="dxa" w:w="6917"/>
            <w:shd w:val="clear" w:color="auto" w:fill="F2F9F8"/>
          </w:tcPr>
          <w:p>
            <w:pPr>
              <w:spacing w:after="40" w:before="40" w:line="300" w:lineRule="auto"/>
            </w:pPr>
            <w:r/>
            <w:r>
              <w:rPr>
                <w:rFonts w:ascii="微软雅黑" w:hAnsi="微软雅黑" w:eastAsia="微软雅黑"/>
                <w:b w:val="0"/>
                <w:i w:val="0"/>
                <w:color w:val="102826"/>
                <w:sz w:val="18"/>
              </w:rPr>
              <w:t>结算、应收、开票、税务、资金与主体核算</w:t>
            </w:r>
          </w:p>
        </w:tc>
      </w:tr>
      <w:tr>
        <w:tc>
          <w:tcPr>
            <w:tcW w:type="dxa" w:w="2381"/>
          </w:tcPr>
          <w:p>
            <w:pPr>
              <w:spacing w:after="40" w:before="40" w:line="300" w:lineRule="auto"/>
            </w:pPr>
            <w:r/>
            <w:r>
              <w:rPr>
                <w:rFonts w:ascii="微软雅黑" w:hAnsi="微软雅黑" w:eastAsia="微软雅黑"/>
                <w:b w:val="0"/>
                <w:i w:val="0"/>
                <w:color w:val="102826"/>
                <w:sz w:val="18"/>
              </w:rPr>
              <w:t>会计</w:t>
            </w:r>
          </w:p>
        </w:tc>
        <w:tc>
          <w:tcPr>
            <w:tcW w:type="dxa" w:w="6917"/>
          </w:tcPr>
          <w:p>
            <w:pPr>
              <w:spacing w:after="40" w:before="40" w:line="300" w:lineRule="auto"/>
            </w:pPr>
            <w:r/>
            <w:r>
              <w:rPr>
                <w:rFonts w:ascii="微软雅黑" w:hAnsi="微软雅黑" w:eastAsia="微软雅黑"/>
                <w:b w:val="0"/>
                <w:i w:val="0"/>
                <w:color w:val="102826"/>
                <w:sz w:val="18"/>
              </w:rPr>
              <w:t>结算单、发票、税务处理与主体报表</w:t>
            </w:r>
          </w:p>
        </w:tc>
      </w:tr>
      <w:tr>
        <w:tc>
          <w:tcPr>
            <w:tcW w:type="dxa" w:w="2381"/>
            <w:shd w:val="clear" w:color="auto" w:fill="F2F9F8"/>
          </w:tcPr>
          <w:p>
            <w:pPr>
              <w:spacing w:after="40" w:before="40" w:line="300" w:lineRule="auto"/>
            </w:pPr>
            <w:r/>
            <w:r>
              <w:rPr>
                <w:rFonts w:ascii="微软雅黑" w:hAnsi="微软雅黑" w:eastAsia="微软雅黑"/>
                <w:b w:val="0"/>
                <w:i w:val="0"/>
                <w:color w:val="102826"/>
                <w:sz w:val="18"/>
              </w:rPr>
              <w:t>出纳</w:t>
            </w:r>
          </w:p>
        </w:tc>
        <w:tc>
          <w:tcPr>
            <w:tcW w:type="dxa" w:w="6917"/>
            <w:shd w:val="clear" w:color="auto" w:fill="F2F9F8"/>
          </w:tcPr>
          <w:p>
            <w:pPr>
              <w:spacing w:after="40" w:before="40" w:line="300" w:lineRule="auto"/>
            </w:pPr>
            <w:r/>
            <w:r>
              <w:rPr>
                <w:rFonts w:ascii="微软雅黑" w:hAnsi="微软雅黑" w:eastAsia="微软雅黑"/>
                <w:b w:val="0"/>
                <w:i w:val="0"/>
                <w:color w:val="102826"/>
                <w:sz w:val="18"/>
              </w:rPr>
              <w:t>收款核销、付款单、资金账户与流水</w:t>
            </w:r>
          </w:p>
        </w:tc>
      </w:tr>
      <w:tr>
        <w:tc>
          <w:tcPr>
            <w:tcW w:type="dxa" w:w="2381"/>
          </w:tcPr>
          <w:p>
            <w:pPr>
              <w:spacing w:after="40" w:before="40" w:line="300" w:lineRule="auto"/>
            </w:pPr>
            <w:r/>
            <w:r>
              <w:rPr>
                <w:rFonts w:ascii="微软雅黑" w:hAnsi="微软雅黑" w:eastAsia="微软雅黑"/>
                <w:b w:val="0"/>
                <w:i w:val="0"/>
                <w:color w:val="102826"/>
                <w:sz w:val="18"/>
              </w:rPr>
              <w:t>业务员</w:t>
            </w:r>
          </w:p>
        </w:tc>
        <w:tc>
          <w:tcPr>
            <w:tcW w:type="dxa" w:w="6917"/>
          </w:tcPr>
          <w:p>
            <w:pPr>
              <w:spacing w:after="40" w:before="40" w:line="300" w:lineRule="auto"/>
            </w:pPr>
            <w:r/>
            <w:r>
              <w:rPr>
                <w:rFonts w:ascii="微软雅黑" w:hAnsi="微软雅黑" w:eastAsia="微软雅黑"/>
                <w:b w:val="0"/>
                <w:i w:val="0"/>
                <w:color w:val="102826"/>
                <w:sz w:val="18"/>
              </w:rPr>
              <w:t>客户档案、报价、合同发起、对账与催收</w:t>
            </w:r>
          </w:p>
        </w:tc>
      </w:tr>
      <w:tr>
        <w:tc>
          <w:tcPr>
            <w:tcW w:type="dxa" w:w="2381"/>
            <w:shd w:val="clear" w:color="auto" w:fill="F2F9F8"/>
          </w:tcPr>
          <w:p>
            <w:pPr>
              <w:spacing w:after="40" w:before="40" w:line="300" w:lineRule="auto"/>
            </w:pPr>
            <w:r/>
            <w:r>
              <w:rPr>
                <w:rFonts w:ascii="微软雅黑" w:hAnsi="微软雅黑" w:eastAsia="微软雅黑"/>
                <w:b w:val="0"/>
                <w:i w:val="0"/>
                <w:color w:val="102826"/>
                <w:sz w:val="18"/>
              </w:rPr>
              <w:t>项目经理</w:t>
            </w:r>
          </w:p>
        </w:tc>
        <w:tc>
          <w:tcPr>
            <w:tcW w:type="dxa" w:w="6917"/>
            <w:shd w:val="clear" w:color="auto" w:fill="F2F9F8"/>
          </w:tcPr>
          <w:p>
            <w:pPr>
              <w:spacing w:after="40" w:before="40" w:line="300" w:lineRule="auto"/>
            </w:pPr>
            <w:r/>
            <w:r>
              <w:rPr>
                <w:rFonts w:ascii="微软雅黑" w:hAnsi="微软雅黑" w:eastAsia="微软雅黑"/>
                <w:b w:val="0"/>
                <w:i w:val="0"/>
                <w:color w:val="102826"/>
                <w:sz w:val="18"/>
              </w:rPr>
              <w:t>调度、台班确认、现场签证、项目成本与结算</w:t>
            </w:r>
          </w:p>
        </w:tc>
      </w:tr>
      <w:tr>
        <w:tc>
          <w:tcPr>
            <w:tcW w:type="dxa" w:w="2381"/>
          </w:tcPr>
          <w:p>
            <w:pPr>
              <w:spacing w:after="40" w:before="40" w:line="300" w:lineRule="auto"/>
            </w:pPr>
            <w:r/>
            <w:r>
              <w:rPr>
                <w:rFonts w:ascii="微软雅黑" w:hAnsi="微软雅黑" w:eastAsia="微软雅黑"/>
                <w:b w:val="0"/>
                <w:i w:val="0"/>
                <w:color w:val="102826"/>
                <w:sz w:val="18"/>
              </w:rPr>
              <w:t>调度员</w:t>
            </w:r>
          </w:p>
        </w:tc>
        <w:tc>
          <w:tcPr>
            <w:tcW w:type="dxa" w:w="6917"/>
          </w:tcPr>
          <w:p>
            <w:pPr>
              <w:spacing w:after="40" w:before="40" w:line="300" w:lineRule="auto"/>
            </w:pPr>
            <w:r/>
            <w:r>
              <w:rPr>
                <w:rFonts w:ascii="微软雅黑" w:hAnsi="微软雅黑" w:eastAsia="微软雅黑"/>
                <w:b w:val="0"/>
                <w:i w:val="0"/>
                <w:color w:val="102826"/>
                <w:sz w:val="18"/>
              </w:rPr>
              <w:t>设备调度、进退场运输、设备交接</w:t>
            </w:r>
          </w:p>
        </w:tc>
      </w:tr>
      <w:tr>
        <w:tc>
          <w:tcPr>
            <w:tcW w:type="dxa" w:w="2381"/>
            <w:shd w:val="clear" w:color="auto" w:fill="F2F9F8"/>
          </w:tcPr>
          <w:p>
            <w:pPr>
              <w:spacing w:after="40" w:before="40" w:line="300" w:lineRule="auto"/>
            </w:pPr>
            <w:r/>
            <w:r>
              <w:rPr>
                <w:rFonts w:ascii="微软雅黑" w:hAnsi="微软雅黑" w:eastAsia="微软雅黑"/>
                <w:b w:val="0"/>
                <w:i w:val="0"/>
                <w:color w:val="102826"/>
                <w:sz w:val="18"/>
              </w:rPr>
              <w:t>设备管理员</w:t>
            </w:r>
          </w:p>
        </w:tc>
        <w:tc>
          <w:tcPr>
            <w:tcW w:type="dxa" w:w="6917"/>
            <w:shd w:val="clear" w:color="auto" w:fill="F2F9F8"/>
          </w:tcPr>
          <w:p>
            <w:pPr>
              <w:spacing w:after="40" w:before="40" w:line="300" w:lineRule="auto"/>
            </w:pPr>
            <w:r/>
            <w:r>
              <w:rPr>
                <w:rFonts w:ascii="微软雅黑" w:hAnsi="微软雅黑" w:eastAsia="微软雅黑"/>
                <w:b w:val="0"/>
                <w:i w:val="0"/>
                <w:color w:val="102826"/>
                <w:sz w:val="18"/>
              </w:rPr>
              <w:t>台账、证照、保养维修、油耗与配件</w:t>
            </w:r>
          </w:p>
        </w:tc>
      </w:tr>
      <w:tr>
        <w:tc>
          <w:tcPr>
            <w:tcW w:type="dxa" w:w="2381"/>
          </w:tcPr>
          <w:p>
            <w:pPr>
              <w:spacing w:after="40" w:before="40" w:line="300" w:lineRule="auto"/>
            </w:pPr>
            <w:r/>
            <w:r>
              <w:rPr>
                <w:rFonts w:ascii="微软雅黑" w:hAnsi="微软雅黑" w:eastAsia="微软雅黑"/>
                <w:b w:val="0"/>
                <w:i w:val="0"/>
                <w:color w:val="102826"/>
                <w:sz w:val="18"/>
              </w:rPr>
              <w:t>安全员</w:t>
            </w:r>
          </w:p>
        </w:tc>
        <w:tc>
          <w:tcPr>
            <w:tcW w:type="dxa" w:w="6917"/>
          </w:tcPr>
          <w:p>
            <w:pPr>
              <w:spacing w:after="40" w:before="40" w:line="300" w:lineRule="auto"/>
            </w:pPr>
            <w:r/>
            <w:r>
              <w:rPr>
                <w:rFonts w:ascii="微软雅黑" w:hAnsi="微软雅黑" w:eastAsia="微软雅黑"/>
                <w:b w:val="0"/>
                <w:i w:val="0"/>
                <w:color w:val="102826"/>
                <w:sz w:val="18"/>
              </w:rPr>
              <w:t>机手证照、安全培训、违章、吊装令与高风险作业</w:t>
            </w:r>
          </w:p>
        </w:tc>
      </w:tr>
      <w:tr>
        <w:tc>
          <w:tcPr>
            <w:tcW w:type="dxa" w:w="2381"/>
            <w:shd w:val="clear" w:color="auto" w:fill="F2F9F8"/>
          </w:tcPr>
          <w:p>
            <w:pPr>
              <w:spacing w:after="40" w:before="40" w:line="300" w:lineRule="auto"/>
            </w:pPr>
            <w:r/>
            <w:r>
              <w:rPr>
                <w:rFonts w:ascii="微软雅黑" w:hAnsi="微软雅黑" w:eastAsia="微软雅黑"/>
                <w:b w:val="0"/>
                <w:i w:val="0"/>
                <w:color w:val="102826"/>
                <w:sz w:val="18"/>
              </w:rPr>
              <w:t>操作手</w:t>
            </w:r>
          </w:p>
        </w:tc>
        <w:tc>
          <w:tcPr>
            <w:tcW w:type="dxa" w:w="6917"/>
            <w:shd w:val="clear" w:color="auto" w:fill="F2F9F8"/>
          </w:tcPr>
          <w:p>
            <w:pPr>
              <w:spacing w:after="40" w:before="40" w:line="300" w:lineRule="auto"/>
            </w:pPr>
            <w:r/>
            <w:r>
              <w:rPr>
                <w:rFonts w:ascii="微软雅黑" w:hAnsi="微软雅黑" w:eastAsia="微软雅黑"/>
                <w:b w:val="0"/>
                <w:i w:val="0"/>
                <w:color w:val="102826"/>
                <w:sz w:val="18"/>
              </w:rPr>
              <w:t>手机填报台班、现场报工、台时抄表与报修</w:t>
            </w:r>
          </w:p>
        </w:tc>
      </w:tr>
      <w:tr>
        <w:tc>
          <w:tcPr>
            <w:tcW w:type="dxa" w:w="2381"/>
          </w:tcPr>
          <w:p>
            <w:pPr>
              <w:spacing w:after="40" w:before="40" w:line="300" w:lineRule="auto"/>
            </w:pPr>
            <w:r/>
            <w:r>
              <w:rPr>
                <w:rFonts w:ascii="微软雅黑" w:hAnsi="微软雅黑" w:eastAsia="微软雅黑"/>
                <w:b w:val="0"/>
                <w:i w:val="0"/>
                <w:color w:val="102826"/>
                <w:sz w:val="18"/>
              </w:rPr>
              <w:t>人事</w:t>
            </w:r>
          </w:p>
        </w:tc>
        <w:tc>
          <w:tcPr>
            <w:tcW w:type="dxa" w:w="6917"/>
          </w:tcPr>
          <w:p>
            <w:pPr>
              <w:spacing w:after="40" w:before="40" w:line="300" w:lineRule="auto"/>
            </w:pPr>
            <w:r/>
            <w:r>
              <w:rPr>
                <w:rFonts w:ascii="微软雅黑" w:hAnsi="微软雅黑" w:eastAsia="微软雅黑"/>
                <w:b w:val="0"/>
                <w:i w:val="0"/>
                <w:color w:val="102826"/>
                <w:sz w:val="18"/>
              </w:rPr>
              <w:t>机手档案、操作证、班组与工资考核</w:t>
            </w:r>
          </w:p>
        </w:tc>
      </w:tr>
      <w:tr>
        <w:tc>
          <w:tcPr>
            <w:tcW w:type="dxa" w:w="2381"/>
            <w:shd w:val="clear" w:color="auto" w:fill="F2F9F8"/>
          </w:tcPr>
          <w:p>
            <w:pPr>
              <w:spacing w:after="40" w:before="40" w:line="300" w:lineRule="auto"/>
            </w:pPr>
            <w:r/>
            <w:r>
              <w:rPr>
                <w:rFonts w:ascii="微软雅黑" w:hAnsi="微软雅黑" w:eastAsia="微软雅黑"/>
                <w:b w:val="0"/>
                <w:i w:val="0"/>
                <w:color w:val="102826"/>
                <w:sz w:val="18"/>
              </w:rPr>
              <w:t>采购</w:t>
            </w:r>
          </w:p>
        </w:tc>
        <w:tc>
          <w:tcPr>
            <w:tcW w:type="dxa" w:w="6917"/>
            <w:shd w:val="clear" w:color="auto" w:fill="F2F9F8"/>
          </w:tcPr>
          <w:p>
            <w:pPr>
              <w:spacing w:after="40" w:before="40" w:line="300" w:lineRule="auto"/>
            </w:pPr>
            <w:r/>
            <w:r>
              <w:rPr>
                <w:rFonts w:ascii="微软雅黑" w:hAnsi="微软雅黑" w:eastAsia="微软雅黑"/>
                <w:b w:val="0"/>
                <w:i w:val="0"/>
                <w:color w:val="102826"/>
                <w:sz w:val="18"/>
              </w:rPr>
              <w:t>供应商、配件、备件补货、领料与采购付款</w:t>
            </w:r>
          </w:p>
        </w:tc>
      </w:tr>
      <w:tr>
        <w:tc>
          <w:tcPr>
            <w:tcW w:type="dxa" w:w="2381"/>
          </w:tcPr>
          <w:p>
            <w:pPr>
              <w:spacing w:after="40" w:before="40" w:line="300" w:lineRule="auto"/>
            </w:pPr>
            <w:r/>
            <w:r>
              <w:rPr>
                <w:rFonts w:ascii="微软雅黑" w:hAnsi="微软雅黑" w:eastAsia="微软雅黑"/>
                <w:b w:val="0"/>
                <w:i w:val="0"/>
                <w:color w:val="102826"/>
                <w:sz w:val="18"/>
              </w:rPr>
              <w:t>实施顾问</w:t>
            </w:r>
          </w:p>
        </w:tc>
        <w:tc>
          <w:tcPr>
            <w:tcW w:type="dxa" w:w="6917"/>
          </w:tcPr>
          <w:p>
            <w:pPr>
              <w:spacing w:after="40" w:before="40" w:line="300" w:lineRule="auto"/>
            </w:pPr>
            <w:r/>
            <w:r>
              <w:rPr>
                <w:rFonts w:ascii="微软雅黑" w:hAnsi="微软雅黑" w:eastAsia="微软雅黑"/>
                <w:b w:val="0"/>
                <w:i w:val="0"/>
                <w:color w:val="102826"/>
                <w:sz w:val="18"/>
              </w:rPr>
              <w:t>全业务 + 系统设置，用于实施、培训与演示</w:t>
            </w:r>
          </w:p>
        </w:tc>
      </w:tr>
    </w:tbl>
    <w:p>
      <w:pPr>
        <w:spacing w:before="0" w:after="120" w:line="372" w:lineRule="auto"/>
        <w:jc w:val="left"/>
      </w:pPr>
    </w:p>
    <w:p>
      <w:pPr>
        <w:spacing w:before="240" w:after="60"/>
      </w:pPr>
      <w:r>
        <w:rPr>
          <w:rFonts w:ascii="微软雅黑" w:hAnsi="微软雅黑" w:eastAsia="微软雅黑"/>
          <w:b/>
          <w:i w:val="0"/>
          <w:color w:val="102826"/>
          <w:sz w:val="25"/>
        </w:rPr>
        <w:t>7.1 权限控制的三个层次</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菜单可见性：看不到的模块不出现在侧栏。</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按钮级操作权限：新增 / 修改 / 删除 / 导出 分别授权。</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数据范围：全部 / 本部门 / 本人 / 指定项目。</w:t>
      </w:r>
    </w:p>
    <w:p>
      <w:r>
        <w:br w:type="page"/>
      </w:r>
    </w:p>
    <w:p>
      <w:pPr>
        <w:spacing w:before="360" w:after="80"/>
        <w:pBdr>
          <w:bottom w:val="single" w:sz="10" w:space="4" w:color="0E6E6A"/>
        </w:pBdr>
      </w:pPr>
      <w:r>
        <w:rPr>
          <w:rFonts w:ascii="微软雅黑" w:hAnsi="微软雅黑" w:eastAsia="微软雅黑"/>
          <w:b/>
          <w:i w:val="0"/>
          <w:color w:val="0E6E6A"/>
          <w:sz w:val="36"/>
        </w:rPr>
        <w:t>八  单机核算：设备到底赚不赚钱</w:t>
      </w:r>
    </w:p>
    <w:p>
      <w:pPr>
        <w:spacing w:before="0" w:after="120" w:line="372" w:lineRule="auto"/>
        <w:jc w:val="left"/>
      </w:pPr>
      <w:r>
        <w:rPr>
          <w:rFonts w:ascii="微软雅黑" w:hAnsi="微软雅黑" w:eastAsia="微软雅黑"/>
          <w:b w:val="0"/>
          <w:i w:val="0"/>
          <w:color w:val="102826"/>
          <w:sz w:val="21"/>
        </w:rPr>
        <w:t>收入与成本按设备归集，输出毛利、毛利率、年化回报与回收期，用于判断“该不该再买一台”。</w:t>
      </w:r>
    </w:p>
    <w:p>
      <w:pPr>
        <w:spacing w:before="0" w:after="40" w:line="372" w:lineRule="auto"/>
        <w:jc w:val="left"/>
      </w:pPr>
    </w:p>
    <w:tbl>
      <w:tblPr>
        <w:tblStyle w:val="TableGrid"/>
        <w:tblW w:type="auto" w:w="0"/>
        <w:tblLook w:firstColumn="1" w:firstRow="1" w:lastColumn="0" w:lastRow="0" w:noHBand="0" w:noVBand="1" w:val="04A0"/>
      </w:tblPr>
      <w:tblGrid>
        <w:gridCol w:w="9412"/>
      </w:tblGrid>
      <w:tr>
        <w:tc>
          <w:tcPr>
            <w:tcW w:type="dxa" w:w="9412"/>
            <w:shd w:val="clear" w:color="auto" w:fill="102826"/>
          </w:tcPr>
          <w:p>
            <w:pPr>
              <w:spacing w:before="120" w:after="120" w:line="360" w:lineRule="auto"/>
            </w:pPr>
            <w:r/>
            <w:r>
              <w:rPr>
                <w:rFonts w:ascii="微软雅黑" w:hAnsi="微软雅黑" w:eastAsia="微软雅黑"/>
                <w:b/>
                <w:i w:val="0"/>
                <w:color w:val="FFFFFF"/>
                <w:sz w:val="21"/>
              </w:rPr>
              <w:t>单机毛利 = 台班收入 − 油料 − 维修 − 机手人工 − 折旧 − 运输分摊</w:t>
            </w:r>
          </w:p>
        </w:tc>
      </w:tr>
    </w:tbl>
    <w:p>
      <w:pPr>
        <w:spacing w:before="0" w:after="40" w:line="372" w:lineRule="auto"/>
        <w:jc w:val="left"/>
      </w:pPr>
    </w:p>
    <w:tbl>
      <w:tblPr>
        <w:tblStyle w:val="TableGrid"/>
        <w:tblW w:type="auto" w:w="0"/>
        <w:jc w:val="center"/>
        <w:tblLayout w:type="autofit"/>
        <w:tblLook w:firstColumn="1" w:firstRow="1" w:lastColumn="0" w:lastRow="0" w:noHBand="0" w:noVBand="1" w:val="04A0"/>
      </w:tblPr>
      <w:tblGrid>
        <w:gridCol w:w="3137"/>
        <w:gridCol w:w="3137"/>
        <w:gridCol w:w="3137"/>
      </w:tblGrid>
      <w:tr>
        <w:tc>
          <w:tcPr>
            <w:tcW w:type="dxa" w:w="2381"/>
            <w:shd w:val="clear" w:color="auto" w:fill="0E6E6A"/>
          </w:tcPr>
          <w:p>
            <w:pPr>
              <w:spacing w:after="40" w:before="40"/>
              <w:jc w:val="center"/>
            </w:pPr>
            <w:r/>
            <w:r>
              <w:rPr>
                <w:rFonts w:ascii="微软雅黑" w:hAnsi="微软雅黑" w:eastAsia="微软雅黑"/>
                <w:b/>
                <w:i w:val="0"/>
                <w:color w:val="FFFFFF"/>
                <w:sz w:val="18"/>
              </w:rPr>
              <w:t>指标</w:t>
            </w:r>
          </w:p>
        </w:tc>
        <w:tc>
          <w:tcPr>
            <w:tcW w:type="dxa" w:w="1814"/>
            <w:shd w:val="clear" w:color="auto" w:fill="0E6E6A"/>
          </w:tcPr>
          <w:p>
            <w:pPr>
              <w:spacing w:after="40" w:before="40"/>
              <w:jc w:val="center"/>
            </w:pPr>
            <w:r/>
            <w:r>
              <w:rPr>
                <w:rFonts w:ascii="微软雅黑" w:hAnsi="微软雅黑" w:eastAsia="微软雅黑"/>
                <w:b/>
                <w:i w:val="0"/>
                <w:color w:val="FFFFFF"/>
                <w:sz w:val="18"/>
              </w:rPr>
              <w:t>示例值</w:t>
            </w:r>
          </w:p>
        </w:tc>
        <w:tc>
          <w:tcPr>
            <w:tcW w:type="dxa" w:w="5102"/>
            <w:shd w:val="clear" w:color="auto" w:fill="0E6E6A"/>
          </w:tcPr>
          <w:p>
            <w:pPr>
              <w:spacing w:after="40" w:before="40"/>
              <w:jc w:val="center"/>
            </w:pPr>
            <w:r/>
            <w:r>
              <w:rPr>
                <w:rFonts w:ascii="微软雅黑" w:hAnsi="微软雅黑" w:eastAsia="微软雅黑"/>
                <w:b/>
                <w:i w:val="0"/>
                <w:color w:val="FFFFFF"/>
                <w:sz w:val="18"/>
              </w:rPr>
              <w:t>口径说明</w:t>
            </w:r>
          </w:p>
        </w:tc>
      </w:tr>
      <w:tr>
        <w:tc>
          <w:tcPr>
            <w:tcW w:type="dxa" w:w="2381"/>
          </w:tcPr>
          <w:p>
            <w:pPr>
              <w:spacing w:after="40" w:before="40" w:line="300" w:lineRule="auto"/>
            </w:pPr>
            <w:r/>
            <w:r>
              <w:rPr>
                <w:rFonts w:ascii="微软雅黑" w:hAnsi="微软雅黑" w:eastAsia="微软雅黑"/>
                <w:b w:val="0"/>
                <w:i w:val="0"/>
                <w:color w:val="102826"/>
                <w:sz w:val="17"/>
              </w:rPr>
              <w:t>在租设备</w:t>
            </w:r>
          </w:p>
        </w:tc>
        <w:tc>
          <w:tcPr>
            <w:tcW w:type="dxa" w:w="1814"/>
          </w:tcPr>
          <w:p>
            <w:pPr>
              <w:spacing w:after="40" w:before="40" w:line="300" w:lineRule="auto"/>
            </w:pPr>
            <w:r/>
            <w:r>
              <w:rPr>
                <w:rFonts w:ascii="微软雅黑" w:hAnsi="微软雅黑" w:eastAsia="微软雅黑"/>
                <w:b w:val="0"/>
                <w:i w:val="0"/>
                <w:color w:val="102826"/>
                <w:sz w:val="17"/>
              </w:rPr>
              <w:t>17 台</w:t>
            </w:r>
          </w:p>
        </w:tc>
        <w:tc>
          <w:tcPr>
            <w:tcW w:type="dxa" w:w="5102"/>
          </w:tcPr>
          <w:p>
            <w:pPr>
              <w:spacing w:after="40" w:before="40" w:line="300" w:lineRule="auto"/>
            </w:pPr>
            <w:r/>
            <w:r>
              <w:rPr>
                <w:rFonts w:ascii="微软雅黑" w:hAnsi="微软雅黑" w:eastAsia="微软雅黑"/>
                <w:b w:val="0"/>
                <w:i w:val="0"/>
                <w:color w:val="102826"/>
                <w:sz w:val="17"/>
              </w:rPr>
              <w:t>当前处于租赁或施工状态的设备数</w:t>
            </w:r>
          </w:p>
        </w:tc>
      </w:tr>
      <w:tr>
        <w:tc>
          <w:tcPr>
            <w:tcW w:type="dxa" w:w="2381"/>
            <w:shd w:val="clear" w:color="auto" w:fill="F2F9F8"/>
          </w:tcPr>
          <w:p>
            <w:pPr>
              <w:spacing w:after="40" w:before="40" w:line="300" w:lineRule="auto"/>
            </w:pPr>
            <w:r/>
            <w:r>
              <w:rPr>
                <w:rFonts w:ascii="微软雅黑" w:hAnsi="微软雅黑" w:eastAsia="微软雅黑"/>
                <w:b w:val="0"/>
                <w:i w:val="0"/>
                <w:color w:val="102826"/>
                <w:sz w:val="17"/>
              </w:rPr>
              <w:t>本月台班收入</w:t>
            </w:r>
          </w:p>
        </w:tc>
        <w:tc>
          <w:tcPr>
            <w:tcW w:type="dxa" w:w="1814"/>
            <w:shd w:val="clear" w:color="auto" w:fill="F2F9F8"/>
          </w:tcPr>
          <w:p>
            <w:pPr>
              <w:spacing w:after="40" w:before="40" w:line="300" w:lineRule="auto"/>
            </w:pPr>
            <w:r/>
            <w:r>
              <w:rPr>
                <w:rFonts w:ascii="微软雅黑" w:hAnsi="微软雅黑" w:eastAsia="微软雅黑"/>
                <w:b w:val="0"/>
                <w:i w:val="0"/>
                <w:color w:val="102826"/>
                <w:sz w:val="17"/>
              </w:rPr>
              <w:t>86.4 万元</w:t>
            </w:r>
          </w:p>
        </w:tc>
        <w:tc>
          <w:tcPr>
            <w:tcW w:type="dxa" w:w="5102"/>
            <w:shd w:val="clear" w:color="auto" w:fill="F2F9F8"/>
          </w:tcPr>
          <w:p>
            <w:pPr>
              <w:spacing w:after="40" w:before="40" w:line="300" w:lineRule="auto"/>
            </w:pPr>
            <w:r/>
            <w:r>
              <w:rPr>
                <w:rFonts w:ascii="微软雅黑" w:hAnsi="微软雅黑" w:eastAsia="微软雅黑"/>
                <w:b w:val="0"/>
                <w:i w:val="0"/>
                <w:color w:val="102826"/>
                <w:sz w:val="17"/>
              </w:rPr>
              <w:t>按已确认台班与合同单价汇总</w:t>
            </w:r>
          </w:p>
        </w:tc>
      </w:tr>
      <w:tr>
        <w:tc>
          <w:tcPr>
            <w:tcW w:type="dxa" w:w="2381"/>
          </w:tcPr>
          <w:p>
            <w:pPr>
              <w:spacing w:after="40" w:before="40" w:line="300" w:lineRule="auto"/>
            </w:pPr>
            <w:r/>
            <w:r>
              <w:rPr>
                <w:rFonts w:ascii="微软雅黑" w:hAnsi="微软雅黑" w:eastAsia="微软雅黑"/>
                <w:b w:val="0"/>
                <w:i w:val="0"/>
                <w:color w:val="102826"/>
                <w:sz w:val="17"/>
              </w:rPr>
              <w:t>平均台班单价</w:t>
            </w:r>
          </w:p>
        </w:tc>
        <w:tc>
          <w:tcPr>
            <w:tcW w:type="dxa" w:w="1814"/>
          </w:tcPr>
          <w:p>
            <w:pPr>
              <w:spacing w:after="40" w:before="40" w:line="300" w:lineRule="auto"/>
            </w:pPr>
            <w:r/>
            <w:r>
              <w:rPr>
                <w:rFonts w:ascii="微软雅黑" w:hAnsi="微软雅黑" w:eastAsia="微软雅黑"/>
                <w:b w:val="0"/>
                <w:i w:val="0"/>
                <w:color w:val="102826"/>
                <w:sz w:val="17"/>
              </w:rPr>
              <w:t>2,780 元</w:t>
            </w:r>
          </w:p>
        </w:tc>
        <w:tc>
          <w:tcPr>
            <w:tcW w:type="dxa" w:w="5102"/>
          </w:tcPr>
          <w:p>
            <w:pPr>
              <w:spacing w:after="40" w:before="40" w:line="300" w:lineRule="auto"/>
            </w:pPr>
            <w:r/>
            <w:r>
              <w:rPr>
                <w:rFonts w:ascii="微软雅黑" w:hAnsi="微软雅黑" w:eastAsia="微软雅黑"/>
                <w:b w:val="0"/>
                <w:i w:val="0"/>
                <w:color w:val="102826"/>
                <w:sz w:val="17"/>
              </w:rPr>
              <w:t>台班收入 ÷ 台班数</w:t>
            </w:r>
          </w:p>
        </w:tc>
      </w:tr>
      <w:tr>
        <w:tc>
          <w:tcPr>
            <w:tcW w:type="dxa" w:w="2381"/>
            <w:shd w:val="clear" w:color="auto" w:fill="F2F9F8"/>
          </w:tcPr>
          <w:p>
            <w:pPr>
              <w:spacing w:after="40" w:before="40" w:line="300" w:lineRule="auto"/>
            </w:pPr>
            <w:r/>
            <w:r>
              <w:rPr>
                <w:rFonts w:ascii="微软雅黑" w:hAnsi="微软雅黑" w:eastAsia="微软雅黑"/>
                <w:b w:val="0"/>
                <w:i w:val="0"/>
                <w:color w:val="102826"/>
                <w:sz w:val="17"/>
              </w:rPr>
              <w:t>单机毛利率</w:t>
            </w:r>
          </w:p>
        </w:tc>
        <w:tc>
          <w:tcPr>
            <w:tcW w:type="dxa" w:w="1814"/>
            <w:shd w:val="clear" w:color="auto" w:fill="F2F9F8"/>
          </w:tcPr>
          <w:p>
            <w:pPr>
              <w:spacing w:after="40" w:before="40" w:line="300" w:lineRule="auto"/>
            </w:pPr>
            <w:r/>
            <w:r>
              <w:rPr>
                <w:rFonts w:ascii="微软雅黑" w:hAnsi="微软雅黑" w:eastAsia="微软雅黑"/>
                <w:b w:val="0"/>
                <w:i w:val="0"/>
                <w:color w:val="102826"/>
                <w:sz w:val="17"/>
              </w:rPr>
              <w:t>41.2%</w:t>
            </w:r>
          </w:p>
        </w:tc>
        <w:tc>
          <w:tcPr>
            <w:tcW w:type="dxa" w:w="5102"/>
            <w:shd w:val="clear" w:color="auto" w:fill="F2F9F8"/>
          </w:tcPr>
          <w:p>
            <w:pPr>
              <w:spacing w:after="40" w:before="40" w:line="300" w:lineRule="auto"/>
            </w:pPr>
            <w:r/>
            <w:r>
              <w:rPr>
                <w:rFonts w:ascii="微软雅黑" w:hAnsi="微软雅黑" w:eastAsia="微软雅黑"/>
                <w:b w:val="0"/>
                <w:i w:val="0"/>
                <w:color w:val="102826"/>
                <w:sz w:val="17"/>
              </w:rPr>
              <w:t>（台班收入 − 油料 − 维修 − 人工 − 折旧）÷ 台班收入</w:t>
            </w:r>
          </w:p>
        </w:tc>
      </w:tr>
      <w:tr>
        <w:tc>
          <w:tcPr>
            <w:tcW w:type="dxa" w:w="2381"/>
          </w:tcPr>
          <w:p>
            <w:pPr>
              <w:spacing w:after="40" w:before="40" w:line="300" w:lineRule="auto"/>
            </w:pPr>
            <w:r/>
            <w:r>
              <w:rPr>
                <w:rFonts w:ascii="微软雅黑" w:hAnsi="微软雅黑" w:eastAsia="微软雅黑"/>
                <w:b w:val="0"/>
                <w:i w:val="0"/>
                <w:color w:val="102826"/>
                <w:sz w:val="17"/>
              </w:rPr>
              <w:t>应收未收</w:t>
            </w:r>
          </w:p>
        </w:tc>
        <w:tc>
          <w:tcPr>
            <w:tcW w:type="dxa" w:w="1814"/>
          </w:tcPr>
          <w:p>
            <w:pPr>
              <w:spacing w:after="40" w:before="40" w:line="300" w:lineRule="auto"/>
            </w:pPr>
            <w:r/>
            <w:r>
              <w:rPr>
                <w:rFonts w:ascii="微软雅黑" w:hAnsi="微软雅黑" w:eastAsia="微软雅黑"/>
                <w:b w:val="0"/>
                <w:i w:val="0"/>
                <w:color w:val="102826"/>
                <w:sz w:val="17"/>
              </w:rPr>
              <w:t>42.6 万元</w:t>
            </w:r>
          </w:p>
        </w:tc>
        <w:tc>
          <w:tcPr>
            <w:tcW w:type="dxa" w:w="5102"/>
          </w:tcPr>
          <w:p>
            <w:pPr>
              <w:spacing w:after="40" w:before="40" w:line="300" w:lineRule="auto"/>
            </w:pPr>
            <w:r/>
            <w:r>
              <w:rPr>
                <w:rFonts w:ascii="微软雅黑" w:hAnsi="微软雅黑" w:eastAsia="微软雅黑"/>
                <w:b w:val="0"/>
                <w:i w:val="0"/>
                <w:color w:val="102826"/>
                <w:sz w:val="17"/>
              </w:rPr>
              <w:t>已开单未核销金额</w:t>
            </w:r>
          </w:p>
        </w:tc>
      </w:tr>
      <w:tr>
        <w:tc>
          <w:tcPr>
            <w:tcW w:type="dxa" w:w="2381"/>
            <w:shd w:val="clear" w:color="auto" w:fill="F2F9F8"/>
          </w:tcPr>
          <w:p>
            <w:pPr>
              <w:spacing w:after="40" w:before="40" w:line="300" w:lineRule="auto"/>
            </w:pPr>
            <w:r/>
            <w:r>
              <w:rPr>
                <w:rFonts w:ascii="微软雅黑" w:hAnsi="微软雅黑" w:eastAsia="微软雅黑"/>
                <w:b w:val="0"/>
                <w:i w:val="0"/>
                <w:color w:val="102826"/>
                <w:sz w:val="17"/>
              </w:rPr>
              <w:t>逾期 90 天以上</w:t>
            </w:r>
          </w:p>
        </w:tc>
        <w:tc>
          <w:tcPr>
            <w:tcW w:type="dxa" w:w="1814"/>
            <w:shd w:val="clear" w:color="auto" w:fill="F2F9F8"/>
          </w:tcPr>
          <w:p>
            <w:pPr>
              <w:spacing w:after="40" w:before="40" w:line="300" w:lineRule="auto"/>
            </w:pPr>
            <w:r/>
            <w:r>
              <w:rPr>
                <w:rFonts w:ascii="微软雅黑" w:hAnsi="微软雅黑" w:eastAsia="微软雅黑"/>
                <w:b w:val="0"/>
                <w:i w:val="0"/>
                <w:color w:val="102826"/>
                <w:sz w:val="17"/>
              </w:rPr>
              <w:t>6.8 万元</w:t>
            </w:r>
          </w:p>
        </w:tc>
        <w:tc>
          <w:tcPr>
            <w:tcW w:type="dxa" w:w="5102"/>
            <w:shd w:val="clear" w:color="auto" w:fill="F2F9F8"/>
          </w:tcPr>
          <w:p>
            <w:pPr>
              <w:spacing w:after="40" w:before="40" w:line="300" w:lineRule="auto"/>
            </w:pPr>
            <w:r/>
            <w:r>
              <w:rPr>
                <w:rFonts w:ascii="微软雅黑" w:hAnsi="微软雅黑" w:eastAsia="微软雅黑"/>
                <w:b w:val="0"/>
                <w:i w:val="0"/>
                <w:color w:val="102826"/>
                <w:sz w:val="17"/>
              </w:rPr>
              <w:t>账龄超过 90 天的应收余额</w:t>
            </w:r>
          </w:p>
        </w:tc>
      </w:tr>
      <w:tr>
        <w:tc>
          <w:tcPr>
            <w:tcW w:type="dxa" w:w="2381"/>
          </w:tcPr>
          <w:p>
            <w:pPr>
              <w:spacing w:after="40" w:before="40" w:line="300" w:lineRule="auto"/>
            </w:pPr>
            <w:r/>
            <w:r>
              <w:rPr>
                <w:rFonts w:ascii="微软雅黑" w:hAnsi="微软雅黑" w:eastAsia="微软雅黑"/>
                <w:b w:val="0"/>
                <w:i w:val="0"/>
                <w:color w:val="102826"/>
                <w:sz w:val="17"/>
              </w:rPr>
              <w:t>设备年化回报</w:t>
            </w:r>
          </w:p>
        </w:tc>
        <w:tc>
          <w:tcPr>
            <w:tcW w:type="dxa" w:w="1814"/>
          </w:tcPr>
          <w:p>
            <w:pPr>
              <w:spacing w:after="40" w:before="40" w:line="300" w:lineRule="auto"/>
            </w:pPr>
            <w:r/>
            <w:r>
              <w:rPr>
                <w:rFonts w:ascii="微软雅黑" w:hAnsi="微软雅黑" w:eastAsia="微软雅黑"/>
                <w:b w:val="0"/>
                <w:i w:val="0"/>
                <w:color w:val="102826"/>
                <w:sz w:val="17"/>
              </w:rPr>
              <w:t>23.7%</w:t>
            </w:r>
          </w:p>
        </w:tc>
        <w:tc>
          <w:tcPr>
            <w:tcW w:type="dxa" w:w="5102"/>
          </w:tcPr>
          <w:p>
            <w:pPr>
              <w:spacing w:after="40" w:before="40" w:line="300" w:lineRule="auto"/>
            </w:pPr>
            <w:r/>
            <w:r>
              <w:rPr>
                <w:rFonts w:ascii="微软雅黑" w:hAnsi="微软雅黑" w:eastAsia="微软雅黑"/>
                <w:b w:val="0"/>
                <w:i w:val="0"/>
                <w:color w:val="102826"/>
                <w:sz w:val="17"/>
              </w:rPr>
              <w:t>单机年毛利 ÷ 设备购置价</w:t>
            </w:r>
          </w:p>
        </w:tc>
      </w:tr>
      <w:tr>
        <w:tc>
          <w:tcPr>
            <w:tcW w:type="dxa" w:w="2381"/>
            <w:shd w:val="clear" w:color="auto" w:fill="F2F9F8"/>
          </w:tcPr>
          <w:p>
            <w:pPr>
              <w:spacing w:after="40" w:before="40" w:line="300" w:lineRule="auto"/>
            </w:pPr>
            <w:r/>
            <w:r>
              <w:rPr>
                <w:rFonts w:ascii="微软雅黑" w:hAnsi="微软雅黑" w:eastAsia="微软雅黑"/>
                <w:b w:val="0"/>
                <w:i w:val="0"/>
                <w:color w:val="102826"/>
                <w:sz w:val="17"/>
              </w:rPr>
              <w:t>投资回收期</w:t>
            </w:r>
          </w:p>
        </w:tc>
        <w:tc>
          <w:tcPr>
            <w:tcW w:type="dxa" w:w="1814"/>
            <w:shd w:val="clear" w:color="auto" w:fill="F2F9F8"/>
          </w:tcPr>
          <w:p>
            <w:pPr>
              <w:spacing w:after="40" w:before="40" w:line="300" w:lineRule="auto"/>
            </w:pPr>
            <w:r/>
            <w:r>
              <w:rPr>
                <w:rFonts w:ascii="微软雅黑" w:hAnsi="微软雅黑" w:eastAsia="微软雅黑"/>
                <w:b w:val="0"/>
                <w:i w:val="0"/>
                <w:color w:val="102826"/>
                <w:sz w:val="17"/>
              </w:rPr>
              <w:t>3.4 年</w:t>
            </w:r>
          </w:p>
        </w:tc>
        <w:tc>
          <w:tcPr>
            <w:tcW w:type="dxa" w:w="5102"/>
            <w:shd w:val="clear" w:color="auto" w:fill="F2F9F8"/>
          </w:tcPr>
          <w:p>
            <w:pPr>
              <w:spacing w:after="40" w:before="40" w:line="300" w:lineRule="auto"/>
            </w:pPr>
            <w:r/>
            <w:r>
              <w:rPr>
                <w:rFonts w:ascii="微软雅黑" w:hAnsi="微软雅黑" w:eastAsia="微软雅黑"/>
                <w:b w:val="0"/>
                <w:i w:val="0"/>
                <w:color w:val="102826"/>
                <w:sz w:val="17"/>
              </w:rPr>
              <w:t>购置价 ÷ 年净现金流</w:t>
            </w:r>
          </w:p>
        </w:tc>
      </w:tr>
    </w:tbl>
    <w:p>
      <w:pPr>
        <w:spacing w:before="0" w:after="120" w:line="372" w:lineRule="auto"/>
        <w:jc w:val="left"/>
      </w:pPr>
    </w:p>
    <w:p>
      <w:pPr>
        <w:spacing w:before="240" w:after="60"/>
      </w:pPr>
      <w:r>
        <w:rPr>
          <w:rFonts w:ascii="微软雅黑" w:hAnsi="微软雅黑" w:eastAsia="微软雅黑"/>
          <w:b/>
          <w:i w:val="0"/>
          <w:color w:val="102826"/>
          <w:sz w:val="25"/>
        </w:rPr>
        <w:t>8.1 成本归集路径</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油料：加油记录按设备与台时归集，可按项目分摊。</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维修：维修工单领料与工时直接计入单机。</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人工：机手工资按台时或出勤天数分摊。</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折旧：按购置价与折旧年限计提，融资设备同时记录月供。</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运输：进退场运费按趟计入项目成本。</w:t>
      </w:r>
    </w:p>
    <w:p>
      <w:pPr>
        <w:spacing w:before="0" w:after="80" w:line="372" w:lineRule="auto"/>
        <w:jc w:val="left"/>
      </w:pPr>
    </w:p>
    <w:p>
      <w:pPr>
        <w:spacing w:before="0" w:after="120" w:line="372" w:lineRule="auto"/>
        <w:jc w:val="left"/>
      </w:pPr>
      <w:r>
        <w:rPr>
          <w:rFonts w:ascii="微软雅黑" w:hAnsi="微软雅黑" w:eastAsia="微软雅黑"/>
          <w:b w:val="0"/>
          <w:i/>
          <w:color w:val="6B7C78"/>
          <w:sz w:val="17"/>
        </w:rPr>
        <w:t>注：示例数据仅用于说明指标口径，实际口径可对接贵司财务科目。</w:t>
      </w:r>
    </w:p>
    <w:p>
      <w:r>
        <w:br w:type="page"/>
      </w:r>
    </w:p>
    <w:p>
      <w:pPr>
        <w:spacing w:before="360" w:after="80"/>
        <w:pBdr>
          <w:bottom w:val="single" w:sz="10" w:space="4" w:color="0E6E6A"/>
        </w:pBdr>
      </w:pPr>
      <w:r>
        <w:rPr>
          <w:rFonts w:ascii="微软雅黑" w:hAnsi="微软雅黑" w:eastAsia="微软雅黑"/>
          <w:b/>
          <w:i w:val="0"/>
          <w:color w:val="0E6E6A"/>
          <w:sz w:val="36"/>
        </w:rPr>
        <w:t>九  移动端与现场：扫码即录</w:t>
      </w:r>
    </w:p>
    <w:p>
      <w:pPr>
        <w:spacing w:before="0" w:after="120" w:line="372" w:lineRule="auto"/>
        <w:jc w:val="left"/>
      </w:pPr>
      <w:r>
        <w:rPr>
          <w:rFonts w:ascii="微软雅黑" w:hAnsi="微软雅黑" w:eastAsia="微软雅黑"/>
          <w:b w:val="0"/>
          <w:i w:val="0"/>
          <w:color w:val="102826"/>
          <w:sz w:val="21"/>
        </w:rPr>
        <w:t>机手不用学电脑。手机扫码打开填报页，完成台班、加油、报修与签证拍照，回办公室只做审核。</w:t>
      </w:r>
    </w:p>
    <w:p>
      <w:pPr>
        <w:spacing w:before="120" w:after="80"/>
        <w:jc w:val="center"/>
      </w:pPr>
      <w:r>
        <w:drawing>
          <wp:inline xmlns:a="http://schemas.openxmlformats.org/drawingml/2006/main" xmlns:pic="http://schemas.openxmlformats.org/drawingml/2006/picture">
            <wp:extent cx="5616000" cy="3511805"/>
            <wp:docPr id="3" name="Picture 3"/>
            <wp:cNvGraphicFramePr>
              <a:graphicFrameLocks noChangeAspect="1"/>
            </wp:cNvGraphicFramePr>
            <a:graphic>
              <a:graphicData uri="http://schemas.openxmlformats.org/drawingml/2006/picture">
                <pic:pic>
                  <pic:nvPicPr>
                    <pic:cNvPr id="0" name="scene-transfer.png"/>
                    <pic:cNvPicPr/>
                  </pic:nvPicPr>
                  <pic:blipFill>
                    <a:blip r:embed="rId12"/>
                    <a:stretch>
                      <a:fillRect/>
                    </a:stretch>
                  </pic:blipFill>
                  <pic:spPr>
                    <a:xfrm>
                      <a:off x="0" y="0"/>
                      <a:ext cx="5616000" cy="3511805"/>
                    </a:xfrm>
                    <a:prstGeom prst="rect"/>
                  </pic:spPr>
                </pic:pic>
              </a:graphicData>
            </a:graphic>
          </wp:inline>
        </w:drawing>
      </w:r>
    </w:p>
    <w:p>
      <w:pPr>
        <w:spacing w:before="0" w:after="120" w:line="372" w:lineRule="auto"/>
        <w:jc w:val="center"/>
      </w:pPr>
      <w:r>
        <w:rPr>
          <w:rFonts w:ascii="微软雅黑" w:hAnsi="微软雅黑" w:eastAsia="微软雅黑"/>
          <w:b w:val="0"/>
          <w:i/>
          <w:color w:val="6B7C78"/>
          <w:sz w:val="17"/>
        </w:rPr>
        <w:t>设备转场：调度单、运输费与交接单在同一处登记。</w:t>
      </w:r>
    </w:p>
    <w:p>
      <w:pPr>
        <w:spacing w:before="240" w:after="60"/>
      </w:pPr>
      <w:r>
        <w:rPr>
          <w:rFonts w:ascii="微软雅黑" w:hAnsi="微软雅黑" w:eastAsia="微软雅黑"/>
          <w:b/>
          <w:i w:val="0"/>
          <w:color w:val="102826"/>
          <w:sz w:val="25"/>
        </w:rPr>
        <w:t>9.1 手机端可完成的动作</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i w:val="0"/>
          <w:color w:val="102826"/>
          <w:sz w:val="21"/>
        </w:rPr>
        <w:t xml:space="preserve">台班填报　</w:t>
      </w:r>
      <w:r>
        <w:rPr>
          <w:rFonts w:ascii="微软雅黑" w:hAnsi="微软雅黑" w:eastAsia="微软雅黑"/>
          <w:b w:val="0"/>
          <w:i w:val="0"/>
          <w:color w:val="3D5A56"/>
          <w:sz w:val="21"/>
        </w:rPr>
        <w:t>起止时间、台时、超时、油量，一键提交</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i w:val="0"/>
          <w:color w:val="102826"/>
          <w:sz w:val="21"/>
        </w:rPr>
        <w:t xml:space="preserve">加油登记　</w:t>
      </w:r>
      <w:r>
        <w:rPr>
          <w:rFonts w:ascii="微软雅黑" w:hAnsi="微软雅黑" w:eastAsia="微软雅黑"/>
          <w:b w:val="0"/>
          <w:i w:val="0"/>
          <w:color w:val="3D5A56"/>
          <w:sz w:val="21"/>
        </w:rPr>
        <w:t>升数、单价、台时，自动摊入单机成本</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i w:val="0"/>
          <w:color w:val="102826"/>
          <w:sz w:val="21"/>
        </w:rPr>
        <w:t xml:space="preserve">报修申请　</w:t>
      </w:r>
      <w:r>
        <w:rPr>
          <w:rFonts w:ascii="微软雅黑" w:hAnsi="微软雅黑" w:eastAsia="微软雅黑"/>
          <w:b w:val="0"/>
          <w:i w:val="0"/>
          <w:color w:val="3D5A56"/>
          <w:sz w:val="21"/>
        </w:rPr>
        <w:t>故障描述 + 现场照片，直派维修主管</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i w:val="0"/>
          <w:color w:val="102826"/>
          <w:sz w:val="21"/>
        </w:rPr>
        <w:t xml:space="preserve">签证拍照　</w:t>
      </w:r>
      <w:r>
        <w:rPr>
          <w:rFonts w:ascii="微软雅黑" w:hAnsi="微软雅黑" w:eastAsia="微软雅黑"/>
          <w:b w:val="0"/>
          <w:i w:val="0"/>
          <w:color w:val="3D5A56"/>
          <w:sz w:val="21"/>
        </w:rPr>
        <w:t>变更现场即时留证，附时间与定位</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i w:val="0"/>
          <w:color w:val="102826"/>
          <w:sz w:val="21"/>
        </w:rPr>
        <w:t xml:space="preserve">待办提醒　</w:t>
      </w:r>
      <w:r>
        <w:rPr>
          <w:rFonts w:ascii="微软雅黑" w:hAnsi="微软雅黑" w:eastAsia="微软雅黑"/>
          <w:b w:val="0"/>
          <w:i w:val="0"/>
          <w:color w:val="3D5A56"/>
          <w:sz w:val="21"/>
        </w:rPr>
        <w:t>合同到期、结算超期、证照到期</w:t>
      </w:r>
    </w:p>
    <w:p>
      <w:pPr>
        <w:spacing w:before="240" w:after="60"/>
      </w:pPr>
      <w:r>
        <w:rPr>
          <w:rFonts w:ascii="微软雅黑" w:hAnsi="微软雅黑" w:eastAsia="微软雅黑"/>
          <w:b/>
          <w:i w:val="0"/>
          <w:color w:val="102826"/>
          <w:sz w:val="25"/>
        </w:rPr>
        <w:t>9.2 演示入口</w:t>
      </w:r>
    </w:p>
    <w:p>
      <w:pPr>
        <w:spacing w:before="0" w:after="120" w:line="372" w:lineRule="auto"/>
        <w:jc w:val="left"/>
      </w:pPr>
      <w:r>
        <w:rPr>
          <w:rFonts w:ascii="微软雅黑" w:hAnsi="微软雅黑" w:eastAsia="微软雅黑"/>
          <w:b w:val="0"/>
          <w:i w:val="0"/>
          <w:color w:val="102826"/>
          <w:sz w:val="21"/>
        </w:rPr>
        <w:t>演示地址：https://p.zerocod.cn/zulin-gongcheng/login.php</w:t>
        <w:br/>
        <w:t>产品主页：https://p.zerocod.cn/zulin-gongcheng/intro/</w:t>
        <w:br/>
        <w:t>官网下载中心同时提供二维码与链接，不强制跳转，方便现场演示。</w:t>
      </w:r>
    </w:p>
    <w:p>
      <w:r>
        <w:br w:type="page"/>
      </w:r>
    </w:p>
    <w:p>
      <w:pPr>
        <w:spacing w:before="360" w:after="80"/>
        <w:pBdr>
          <w:bottom w:val="single" w:sz="10" w:space="4" w:color="0E6E6A"/>
        </w:pBdr>
      </w:pPr>
      <w:r>
        <w:rPr>
          <w:rFonts w:ascii="微软雅黑" w:hAnsi="微软雅黑" w:eastAsia="微软雅黑"/>
          <w:b/>
          <w:i w:val="0"/>
          <w:color w:val="0E6E6A"/>
          <w:sz w:val="36"/>
        </w:rPr>
        <w:t>十  部署与实施：两种交付、四步上线</w:t>
      </w:r>
    </w:p>
    <w:p>
      <w:pPr>
        <w:spacing w:before="240" w:after="60"/>
      </w:pPr>
      <w:r>
        <w:rPr>
          <w:rFonts w:ascii="微软雅黑" w:hAnsi="微软雅黑" w:eastAsia="微软雅黑"/>
          <w:b/>
          <w:i w:val="0"/>
          <w:color w:val="102826"/>
          <w:sz w:val="25"/>
        </w:rPr>
        <w:t>10.1 两种交付方式</w:t>
      </w:r>
    </w:p>
    <w:tbl>
      <w:tblPr>
        <w:tblStyle w:val="TableGrid"/>
        <w:tblW w:type="auto" w:w="0"/>
        <w:jc w:val="center"/>
        <w:tblLayout w:type="autofit"/>
        <w:tblLook w:firstColumn="1" w:firstRow="1" w:lastColumn="0" w:lastRow="0" w:noHBand="0" w:noVBand="1" w:val="04A0"/>
      </w:tblPr>
      <w:tblGrid>
        <w:gridCol w:w="3137"/>
        <w:gridCol w:w="3137"/>
        <w:gridCol w:w="3137"/>
      </w:tblGrid>
      <w:tr>
        <w:tc>
          <w:tcPr>
            <w:tcW w:type="dxa" w:w="2268"/>
            <w:shd w:val="clear" w:color="auto" w:fill="0E6E6A"/>
          </w:tcPr>
          <w:p>
            <w:pPr>
              <w:spacing w:after="40" w:before="40"/>
              <w:jc w:val="center"/>
            </w:pPr>
            <w:r/>
            <w:r>
              <w:rPr>
                <w:rFonts w:ascii="微软雅黑" w:hAnsi="微软雅黑" w:eastAsia="微软雅黑"/>
                <w:b/>
                <w:i w:val="0"/>
                <w:color w:val="FFFFFF"/>
                <w:sz w:val="18"/>
              </w:rPr>
              <w:t>交付方式</w:t>
            </w:r>
          </w:p>
        </w:tc>
        <w:tc>
          <w:tcPr>
            <w:tcW w:type="dxa" w:w="4762"/>
            <w:shd w:val="clear" w:color="auto" w:fill="0E6E6A"/>
          </w:tcPr>
          <w:p>
            <w:pPr>
              <w:spacing w:after="40" w:before="40"/>
              <w:jc w:val="center"/>
            </w:pPr>
            <w:r/>
            <w:r>
              <w:rPr>
                <w:rFonts w:ascii="微软雅黑" w:hAnsi="微软雅黑" w:eastAsia="微软雅黑"/>
                <w:b/>
                <w:i w:val="0"/>
                <w:color w:val="FFFFFF"/>
                <w:sz w:val="18"/>
              </w:rPr>
              <w:t>特点</w:t>
            </w:r>
          </w:p>
        </w:tc>
        <w:tc>
          <w:tcPr>
            <w:tcW w:type="dxa" w:w="2268"/>
            <w:shd w:val="clear" w:color="auto" w:fill="0E6E6A"/>
          </w:tcPr>
          <w:p>
            <w:pPr>
              <w:spacing w:after="40" w:before="40"/>
              <w:jc w:val="center"/>
            </w:pPr>
            <w:r/>
            <w:r>
              <w:rPr>
                <w:rFonts w:ascii="微软雅黑" w:hAnsi="微软雅黑" w:eastAsia="微软雅黑"/>
                <w:b/>
                <w:i w:val="0"/>
                <w:color w:val="FFFFFF"/>
                <w:sz w:val="18"/>
              </w:rPr>
              <w:t>适用场景</w:t>
            </w:r>
          </w:p>
        </w:tc>
      </w:tr>
      <w:tr>
        <w:tc>
          <w:tcPr>
            <w:tcW w:type="dxa" w:w="2268"/>
          </w:tcPr>
          <w:p>
            <w:pPr>
              <w:spacing w:after="40" w:before="40" w:line="300" w:lineRule="auto"/>
            </w:pPr>
            <w:r/>
            <w:r>
              <w:rPr>
                <w:rFonts w:ascii="微软雅黑" w:hAnsi="微软雅黑" w:eastAsia="微软雅黑"/>
                <w:b w:val="0"/>
                <w:i w:val="0"/>
                <w:color w:val="102826"/>
                <w:sz w:val="17"/>
              </w:rPr>
              <w:t>在线演示 / SaaS</w:t>
            </w:r>
          </w:p>
        </w:tc>
        <w:tc>
          <w:tcPr>
            <w:tcW w:type="dxa" w:w="4762"/>
          </w:tcPr>
          <w:p>
            <w:pPr>
              <w:spacing w:after="40" w:before="40" w:line="300" w:lineRule="auto"/>
            </w:pPr>
            <w:r/>
            <w:r>
              <w:rPr>
                <w:rFonts w:ascii="微软雅黑" w:hAnsi="微软雅黑" w:eastAsia="微软雅黑"/>
                <w:b w:val="0"/>
                <w:i w:val="0"/>
                <w:color w:val="102826"/>
                <w:sz w:val="17"/>
              </w:rPr>
              <w:t>开通即用，无需服务器，演示数据可重置，按账号数计费</w:t>
            </w:r>
          </w:p>
        </w:tc>
        <w:tc>
          <w:tcPr>
            <w:tcW w:type="dxa" w:w="2268"/>
          </w:tcPr>
          <w:p>
            <w:pPr>
              <w:spacing w:after="40" w:before="40" w:line="300" w:lineRule="auto"/>
            </w:pPr>
            <w:r/>
            <w:r>
              <w:rPr>
                <w:rFonts w:ascii="微软雅黑" w:hAnsi="微软雅黑" w:eastAsia="微软雅黑"/>
                <w:b w:val="0"/>
                <w:i w:val="0"/>
                <w:color w:val="102826"/>
                <w:sz w:val="17"/>
              </w:rPr>
              <w:t>选型、内部汇报、小规模试用</w:t>
            </w:r>
          </w:p>
        </w:tc>
      </w:tr>
      <w:tr>
        <w:tc>
          <w:tcPr>
            <w:tcW w:type="dxa" w:w="2268"/>
            <w:shd w:val="clear" w:color="auto" w:fill="F2F9F8"/>
          </w:tcPr>
          <w:p>
            <w:pPr>
              <w:spacing w:after="40" w:before="40" w:line="300" w:lineRule="auto"/>
            </w:pPr>
            <w:r/>
            <w:r>
              <w:rPr>
                <w:rFonts w:ascii="微软雅黑" w:hAnsi="微软雅黑" w:eastAsia="微软雅黑"/>
                <w:b w:val="0"/>
                <w:i w:val="0"/>
                <w:color w:val="102826"/>
                <w:sz w:val="17"/>
              </w:rPr>
              <w:t>私有化部署</w:t>
            </w:r>
          </w:p>
        </w:tc>
        <w:tc>
          <w:tcPr>
            <w:tcW w:type="dxa" w:w="4762"/>
            <w:shd w:val="clear" w:color="auto" w:fill="F2F9F8"/>
          </w:tcPr>
          <w:p>
            <w:pPr>
              <w:spacing w:after="40" w:before="40" w:line="300" w:lineRule="auto"/>
            </w:pPr>
            <w:r/>
            <w:r>
              <w:rPr>
                <w:rFonts w:ascii="微软雅黑" w:hAnsi="微软雅黑" w:eastAsia="微软雅黑"/>
                <w:b w:val="0"/>
                <w:i w:val="0"/>
                <w:color w:val="102826"/>
                <w:sz w:val="17"/>
              </w:rPr>
              <w:t>PHP 8 + SQLite（可迁 MySQL），支持子目录与内网，可与现有账号体系对接</w:t>
            </w:r>
          </w:p>
        </w:tc>
        <w:tc>
          <w:tcPr>
            <w:tcW w:type="dxa" w:w="2268"/>
            <w:shd w:val="clear" w:color="auto" w:fill="F2F9F8"/>
          </w:tcPr>
          <w:p>
            <w:pPr>
              <w:spacing w:after="40" w:before="40" w:line="300" w:lineRule="auto"/>
            </w:pPr>
            <w:r/>
            <w:r>
              <w:rPr>
                <w:rFonts w:ascii="微软雅黑" w:hAnsi="微软雅黑" w:eastAsia="微软雅黑"/>
                <w:b w:val="0"/>
                <w:i w:val="0"/>
                <w:color w:val="102826"/>
                <w:sz w:val="17"/>
              </w:rPr>
              <w:t>数据敏感、需要长期自有部署</w:t>
            </w:r>
          </w:p>
        </w:tc>
      </w:tr>
    </w:tbl>
    <w:p>
      <w:pPr>
        <w:spacing w:before="240" w:after="60"/>
      </w:pPr>
      <w:r>
        <w:rPr>
          <w:rFonts w:ascii="微软雅黑" w:hAnsi="微软雅黑" w:eastAsia="微软雅黑"/>
          <w:b/>
          <w:i w:val="0"/>
          <w:color w:val="102826"/>
          <w:sz w:val="25"/>
        </w:rPr>
        <w:t>10.2 四步上线</w:t>
      </w:r>
    </w:p>
    <w:tbl>
      <w:tblPr>
        <w:tblStyle w:val="TableGrid"/>
        <w:tblW w:type="auto" w:w="0"/>
        <w:jc w:val="center"/>
        <w:tblLayout w:type="autofit"/>
        <w:tblLook w:firstColumn="1" w:firstRow="1" w:lastColumn="0" w:lastRow="0" w:noHBand="0" w:noVBand="1" w:val="04A0"/>
      </w:tblPr>
      <w:tblGrid>
        <w:gridCol w:w="3137"/>
        <w:gridCol w:w="3137"/>
        <w:gridCol w:w="3137"/>
      </w:tblGrid>
      <w:tr>
        <w:tc>
          <w:tcPr>
            <w:tcW w:type="dxa" w:w="1701"/>
            <w:shd w:val="clear" w:color="auto" w:fill="0E6E6A"/>
          </w:tcPr>
          <w:p>
            <w:pPr>
              <w:spacing w:after="40" w:before="40"/>
              <w:jc w:val="center"/>
            </w:pPr>
            <w:r/>
            <w:r>
              <w:rPr>
                <w:rFonts w:ascii="微软雅黑" w:hAnsi="微软雅黑" w:eastAsia="微软雅黑"/>
                <w:b/>
                <w:i w:val="0"/>
                <w:color w:val="FFFFFF"/>
                <w:sz w:val="18"/>
              </w:rPr>
              <w:t>阶段</w:t>
            </w:r>
          </w:p>
        </w:tc>
        <w:tc>
          <w:tcPr>
            <w:tcW w:type="dxa" w:w="5329"/>
            <w:shd w:val="clear" w:color="auto" w:fill="0E6E6A"/>
          </w:tcPr>
          <w:p>
            <w:pPr>
              <w:spacing w:after="40" w:before="40"/>
              <w:jc w:val="center"/>
            </w:pPr>
            <w:r/>
            <w:r>
              <w:rPr>
                <w:rFonts w:ascii="微软雅黑" w:hAnsi="微软雅黑" w:eastAsia="微软雅黑"/>
                <w:b/>
                <w:i w:val="0"/>
                <w:color w:val="FFFFFF"/>
                <w:sz w:val="18"/>
              </w:rPr>
              <w:t>重点</w:t>
            </w:r>
          </w:p>
        </w:tc>
        <w:tc>
          <w:tcPr>
            <w:tcW w:type="dxa" w:w="2268"/>
            <w:shd w:val="clear" w:color="auto" w:fill="0E6E6A"/>
          </w:tcPr>
          <w:p>
            <w:pPr>
              <w:spacing w:after="40" w:before="40"/>
              <w:jc w:val="center"/>
            </w:pPr>
            <w:r/>
            <w:r>
              <w:rPr>
                <w:rFonts w:ascii="微软雅黑" w:hAnsi="微软雅黑" w:eastAsia="微软雅黑"/>
                <w:b/>
                <w:i w:val="0"/>
                <w:color w:val="FFFFFF"/>
                <w:sz w:val="18"/>
              </w:rPr>
              <w:t>交付物</w:t>
            </w:r>
          </w:p>
        </w:tc>
      </w:tr>
      <w:tr>
        <w:tc>
          <w:tcPr>
            <w:tcW w:type="dxa" w:w="1701"/>
          </w:tcPr>
          <w:p>
            <w:pPr>
              <w:spacing w:after="40" w:before="40" w:line="300" w:lineRule="auto"/>
            </w:pPr>
            <w:r/>
            <w:r>
              <w:rPr>
                <w:rFonts w:ascii="微软雅黑" w:hAnsi="微软雅黑" w:eastAsia="微软雅黑"/>
                <w:b w:val="0"/>
                <w:i w:val="0"/>
                <w:color w:val="102826"/>
                <w:sz w:val="17"/>
              </w:rPr>
              <w:t>第 1 周</w:t>
            </w:r>
          </w:p>
        </w:tc>
        <w:tc>
          <w:tcPr>
            <w:tcW w:type="dxa" w:w="5329"/>
          </w:tcPr>
          <w:p>
            <w:pPr>
              <w:spacing w:after="40" w:before="40" w:line="300" w:lineRule="auto"/>
            </w:pPr>
            <w:r/>
            <w:r>
              <w:rPr>
                <w:rFonts w:ascii="微软雅黑" w:hAnsi="微软雅黑" w:eastAsia="微软雅黑"/>
                <w:b w:val="0"/>
                <w:i w:val="0"/>
                <w:color w:val="102826"/>
                <w:sz w:val="17"/>
              </w:rPr>
              <w:t>基础资料导入：设备、客户、项目、计价条款</w:t>
            </w:r>
          </w:p>
        </w:tc>
        <w:tc>
          <w:tcPr>
            <w:tcW w:type="dxa" w:w="2268"/>
          </w:tcPr>
          <w:p>
            <w:pPr>
              <w:spacing w:after="40" w:before="40" w:line="300" w:lineRule="auto"/>
            </w:pPr>
            <w:r/>
            <w:r>
              <w:rPr>
                <w:rFonts w:ascii="微软雅黑" w:hAnsi="微软雅黑" w:eastAsia="微软雅黑"/>
                <w:b w:val="0"/>
                <w:i w:val="0"/>
                <w:color w:val="102826"/>
                <w:sz w:val="17"/>
              </w:rPr>
              <w:t>基础档案与字典配置</w:t>
            </w:r>
          </w:p>
        </w:tc>
      </w:tr>
      <w:tr>
        <w:tc>
          <w:tcPr>
            <w:tcW w:type="dxa" w:w="1701"/>
            <w:shd w:val="clear" w:color="auto" w:fill="F2F9F8"/>
          </w:tcPr>
          <w:p>
            <w:pPr>
              <w:spacing w:after="40" w:before="40" w:line="300" w:lineRule="auto"/>
            </w:pPr>
            <w:r/>
            <w:r>
              <w:rPr>
                <w:rFonts w:ascii="微软雅黑" w:hAnsi="微软雅黑" w:eastAsia="微软雅黑"/>
                <w:b w:val="0"/>
                <w:i w:val="0"/>
                <w:color w:val="102826"/>
                <w:sz w:val="17"/>
              </w:rPr>
              <w:t>第 2 周</w:t>
            </w:r>
          </w:p>
        </w:tc>
        <w:tc>
          <w:tcPr>
            <w:tcW w:type="dxa" w:w="5329"/>
            <w:shd w:val="clear" w:color="auto" w:fill="F2F9F8"/>
          </w:tcPr>
          <w:p>
            <w:pPr>
              <w:spacing w:after="40" w:before="40" w:line="300" w:lineRule="auto"/>
            </w:pPr>
            <w:r/>
            <w:r>
              <w:rPr>
                <w:rFonts w:ascii="微软雅黑" w:hAnsi="微软雅黑" w:eastAsia="微软雅黑"/>
                <w:b w:val="0"/>
                <w:i w:val="0"/>
                <w:color w:val="102826"/>
                <w:sz w:val="17"/>
              </w:rPr>
              <w:t>合同与调度：存量合同补录，跑通进场流程</w:t>
            </w:r>
          </w:p>
        </w:tc>
        <w:tc>
          <w:tcPr>
            <w:tcW w:type="dxa" w:w="2268"/>
            <w:shd w:val="clear" w:color="auto" w:fill="F2F9F8"/>
          </w:tcPr>
          <w:p>
            <w:pPr>
              <w:spacing w:after="40" w:before="40" w:line="300" w:lineRule="auto"/>
            </w:pPr>
            <w:r/>
            <w:r>
              <w:rPr>
                <w:rFonts w:ascii="微软雅黑" w:hAnsi="微软雅黑" w:eastAsia="微软雅黑"/>
                <w:b w:val="0"/>
                <w:i w:val="0"/>
                <w:color w:val="102826"/>
                <w:sz w:val="17"/>
              </w:rPr>
              <w:t>合同台账、调度单、交接单</w:t>
            </w:r>
          </w:p>
        </w:tc>
      </w:tr>
      <w:tr>
        <w:tc>
          <w:tcPr>
            <w:tcW w:type="dxa" w:w="1701"/>
          </w:tcPr>
          <w:p>
            <w:pPr>
              <w:spacing w:after="40" w:before="40" w:line="300" w:lineRule="auto"/>
            </w:pPr>
            <w:r/>
            <w:r>
              <w:rPr>
                <w:rFonts w:ascii="微软雅黑" w:hAnsi="微软雅黑" w:eastAsia="微软雅黑"/>
                <w:b w:val="0"/>
                <w:i w:val="0"/>
                <w:color w:val="102826"/>
                <w:sz w:val="17"/>
              </w:rPr>
              <w:t>第 3 周</w:t>
            </w:r>
          </w:p>
        </w:tc>
        <w:tc>
          <w:tcPr>
            <w:tcW w:type="dxa" w:w="5329"/>
          </w:tcPr>
          <w:p>
            <w:pPr>
              <w:spacing w:after="40" w:before="40" w:line="300" w:lineRule="auto"/>
            </w:pPr>
            <w:r/>
            <w:r>
              <w:rPr>
                <w:rFonts w:ascii="微软雅黑" w:hAnsi="微软雅黑" w:eastAsia="微软雅黑"/>
                <w:b w:val="0"/>
                <w:i w:val="0"/>
                <w:color w:val="102826"/>
                <w:sz w:val="17"/>
              </w:rPr>
              <w:t>台班与结算：现场试填，出第一张结算单</w:t>
            </w:r>
          </w:p>
        </w:tc>
        <w:tc>
          <w:tcPr>
            <w:tcW w:type="dxa" w:w="2268"/>
          </w:tcPr>
          <w:p>
            <w:pPr>
              <w:spacing w:after="40" w:before="40" w:line="300" w:lineRule="auto"/>
            </w:pPr>
            <w:r/>
            <w:r>
              <w:rPr>
                <w:rFonts w:ascii="微软雅黑" w:hAnsi="微软雅黑" w:eastAsia="微软雅黑"/>
                <w:b w:val="0"/>
                <w:i w:val="0"/>
                <w:color w:val="102826"/>
                <w:sz w:val="17"/>
              </w:rPr>
              <w:t>台班记录、结算单、应收账单</w:t>
            </w:r>
          </w:p>
        </w:tc>
      </w:tr>
      <w:tr>
        <w:tc>
          <w:tcPr>
            <w:tcW w:type="dxa" w:w="1701"/>
            <w:shd w:val="clear" w:color="auto" w:fill="F2F9F8"/>
          </w:tcPr>
          <w:p>
            <w:pPr>
              <w:spacing w:after="40" w:before="40" w:line="300" w:lineRule="auto"/>
            </w:pPr>
            <w:r/>
            <w:r>
              <w:rPr>
                <w:rFonts w:ascii="微软雅黑" w:hAnsi="微软雅黑" w:eastAsia="微软雅黑"/>
                <w:b w:val="0"/>
                <w:i w:val="0"/>
                <w:color w:val="102826"/>
                <w:sz w:val="17"/>
              </w:rPr>
              <w:t>第 4 周</w:t>
            </w:r>
          </w:p>
        </w:tc>
        <w:tc>
          <w:tcPr>
            <w:tcW w:type="dxa" w:w="5329"/>
            <w:shd w:val="clear" w:color="auto" w:fill="F2F9F8"/>
          </w:tcPr>
          <w:p>
            <w:pPr>
              <w:spacing w:after="40" w:before="40" w:line="300" w:lineRule="auto"/>
            </w:pPr>
            <w:r/>
            <w:r>
              <w:rPr>
                <w:rFonts w:ascii="微软雅黑" w:hAnsi="微软雅黑" w:eastAsia="微软雅黑"/>
                <w:b w:val="0"/>
                <w:i w:val="0"/>
                <w:color w:val="102826"/>
                <w:sz w:val="17"/>
              </w:rPr>
              <w:t>核算与培训：单机核算、角色培训、并行跑账</w:t>
            </w:r>
          </w:p>
        </w:tc>
        <w:tc>
          <w:tcPr>
            <w:tcW w:type="dxa" w:w="2268"/>
            <w:shd w:val="clear" w:color="auto" w:fill="F2F9F8"/>
          </w:tcPr>
          <w:p>
            <w:pPr>
              <w:spacing w:after="40" w:before="40" w:line="300" w:lineRule="auto"/>
            </w:pPr>
            <w:r/>
            <w:r>
              <w:rPr>
                <w:rFonts w:ascii="微软雅黑" w:hAnsi="微软雅黑" w:eastAsia="微软雅黑"/>
                <w:b w:val="0"/>
                <w:i w:val="0"/>
                <w:color w:val="102826"/>
                <w:sz w:val="17"/>
              </w:rPr>
              <w:t>核算报表、操作手册、培训记录</w:t>
            </w:r>
          </w:p>
        </w:tc>
      </w:tr>
    </w:tbl>
    <w:p>
      <w:pPr>
        <w:spacing w:before="240" w:after="60"/>
      </w:pPr>
      <w:r>
        <w:rPr>
          <w:rFonts w:ascii="微软雅黑" w:hAnsi="微软雅黑" w:eastAsia="微软雅黑"/>
          <w:b/>
          <w:i w:val="0"/>
          <w:color w:val="102826"/>
          <w:sz w:val="25"/>
        </w:rPr>
        <w:t>10.3 上线建议</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先跑一条完整主线（一个客户、一台设备、一张结算单），再铺开。</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存量数据只导必要字段，历史单据保留在旧系统备查。</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上线首月与原台账并行，对平后再停用 Excel。</w:t>
      </w:r>
    </w:p>
    <w:p>
      <w:r>
        <w:br w:type="page"/>
      </w:r>
    </w:p>
    <w:p>
      <w:pPr>
        <w:spacing w:before="360" w:after="80"/>
        <w:pBdr>
          <w:bottom w:val="single" w:sz="10" w:space="4" w:color="0E6E6A"/>
        </w:pBdr>
      </w:pPr>
      <w:r>
        <w:rPr>
          <w:rFonts w:ascii="微软雅黑" w:hAnsi="微软雅黑" w:eastAsia="微软雅黑"/>
          <w:b/>
          <w:i w:val="0"/>
          <w:color w:val="0E6E6A"/>
          <w:sz w:val="36"/>
        </w:rPr>
        <w:t>十一  能力边界：已交付与规划中</w:t>
      </w:r>
    </w:p>
    <w:p>
      <w:pPr>
        <w:spacing w:before="0" w:after="120" w:line="372" w:lineRule="auto"/>
        <w:jc w:val="left"/>
      </w:pPr>
      <w:r>
        <w:rPr>
          <w:rFonts w:ascii="微软雅黑" w:hAnsi="微软雅黑" w:eastAsia="微软雅黑"/>
          <w:b w:val="0"/>
          <w:i w:val="0"/>
          <w:color w:val="102826"/>
          <w:sz w:val="21"/>
        </w:rPr>
        <w:t>演示口径诚实，是长期合作的前提。下面把“现在能做到的”和“还需要评估的”分开说清楚。</w:t>
      </w:r>
    </w:p>
    <w:p>
      <w:pPr>
        <w:spacing w:before="240" w:after="60"/>
      </w:pPr>
      <w:r>
        <w:rPr>
          <w:rFonts w:ascii="微软雅黑" w:hAnsi="微软雅黑" w:eastAsia="微软雅黑"/>
          <w:b/>
          <w:i w:val="0"/>
          <w:color w:val="102826"/>
          <w:sz w:val="25"/>
        </w:rPr>
        <w:t>11.1 当前已可演示</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报价 → 合同 → 调度进场 → 台班 → 结算 → 账单催收主链路</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纯租赁 / 带人施工 / 一体化三类合同与 10 种计价方式</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运营大屏 KPI、待办；仪表盘与统计数字可穿透到源单据</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单机核算：台班收入、油料、维修、毛利与年化回报</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项目成本归集、预算对比与超支提示</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设备证照、保险、维保、配件库存与人员安全档案</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15 角色登录、菜单按角色裁剪，手机扫码现场填报</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真实新增 / 编辑 / 删除（SQLite 落库，可重置）</w:t>
      </w:r>
    </w:p>
    <w:p>
      <w:pPr>
        <w:spacing w:before="240" w:after="60"/>
      </w:pPr>
      <w:r>
        <w:rPr>
          <w:rFonts w:ascii="微软雅黑" w:hAnsi="微软雅黑" w:eastAsia="微软雅黑"/>
          <w:b/>
          <w:i w:val="0"/>
          <w:color w:val="102826"/>
          <w:sz w:val="25"/>
        </w:rPr>
        <w:t>11.2 规划中（非当前能力）</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完整审批流 / 电子签章</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税控开票直连与银企直联</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GPS 硬件对接与远程锁机</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机手 App / 小程序原生端</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生产级多租户与审计合规</w:t>
      </w:r>
    </w:p>
    <w:p>
      <w:pPr>
        <w:spacing w:after="80" w:line="360" w:lineRule="auto"/>
        <w:ind w:left="340" w:hanging="340"/>
      </w:pPr>
      <w:r>
        <w:rPr>
          <w:rFonts w:ascii="微软雅黑" w:hAnsi="微软雅黑" w:eastAsia="微软雅黑"/>
          <w:b/>
          <w:i w:val="0"/>
          <w:color w:val="0ABAB5"/>
          <w:sz w:val="21"/>
        </w:rPr>
        <w:t xml:space="preserve">· </w:t>
      </w:r>
      <w:r>
        <w:rPr>
          <w:rFonts w:ascii="微软雅黑" w:hAnsi="微软雅黑" w:eastAsia="微软雅黑"/>
          <w:b w:val="0"/>
          <w:i w:val="0"/>
          <w:color w:val="3D5A56"/>
          <w:sz w:val="21"/>
        </w:rPr>
        <w:t>AI 调度与油耗异常识别</w:t>
      </w:r>
    </w:p>
    <w:p>
      <w:pPr>
        <w:spacing w:before="0" w:after="120" w:line="372" w:lineRule="auto"/>
        <w:jc w:val="left"/>
      </w:pPr>
      <w:r>
        <w:rPr>
          <w:rFonts w:ascii="微软雅黑" w:hAnsi="微软雅黑" w:eastAsia="微软雅黑"/>
          <w:b w:val="0"/>
          <w:i/>
          <w:color w:val="6B7C78"/>
          <w:sz w:val="18"/>
        </w:rPr>
        <w:t>以上规划项按项目评估，可纳入实施范围。</w:t>
      </w:r>
    </w:p>
    <w:p>
      <w:r>
        <w:br w:type="page"/>
      </w:r>
    </w:p>
    <w:p>
      <w:pPr>
        <w:spacing w:before="360" w:after="80"/>
        <w:pBdr>
          <w:bottom w:val="single" w:sz="10" w:space="4" w:color="0E6E6A"/>
        </w:pBdr>
      </w:pPr>
      <w:r>
        <w:rPr>
          <w:rFonts w:ascii="微软雅黑" w:hAnsi="微软雅黑" w:eastAsia="微软雅黑"/>
          <w:b/>
          <w:i w:val="0"/>
          <w:color w:val="0E6E6A"/>
          <w:sz w:val="36"/>
        </w:rPr>
        <w:t>十二  常见问题</w:t>
      </w:r>
    </w:p>
    <w:p>
      <w:pPr>
        <w:spacing w:before="240" w:after="60"/>
      </w:pPr>
      <w:r>
        <w:rPr>
          <w:rFonts w:ascii="微软雅黑" w:hAnsi="微软雅黑" w:eastAsia="微软雅黑"/>
          <w:b/>
          <w:i w:val="0"/>
          <w:color w:val="102826"/>
          <w:sz w:val="25"/>
        </w:rPr>
        <w:t>1. 适合哪些设备租赁公司？</w:t>
      </w:r>
    </w:p>
    <w:p>
      <w:pPr>
        <w:spacing w:before="0" w:after="120" w:line="372" w:lineRule="auto"/>
        <w:jc w:val="left"/>
      </w:pPr>
      <w:r>
        <w:rPr>
          <w:rFonts w:ascii="微软雅黑" w:hAnsi="微软雅黑" w:eastAsia="微软雅黑"/>
          <w:b w:val="0"/>
          <w:i w:val="0"/>
          <w:color w:val="3D5A56"/>
          <w:sz w:val="20"/>
        </w:rPr>
        <w:t>挖掘机、装载机、推土机、压路机、吊车、泵车、桩机、自卸车等工程机械租赁与带人施工企业；既有纯设备出租，也有带机手、包燃油、按工程量结算的混合业务。</w:t>
      </w:r>
    </w:p>
    <w:p>
      <w:pPr>
        <w:spacing w:before="240" w:after="60"/>
      </w:pPr>
      <w:r>
        <w:rPr>
          <w:rFonts w:ascii="微软雅黑" w:hAnsi="微软雅黑" w:eastAsia="微软雅黑"/>
          <w:b/>
          <w:i w:val="0"/>
          <w:color w:val="102826"/>
          <w:sz w:val="25"/>
        </w:rPr>
        <w:t>2. 纯租赁和带人施工都能管吗？</w:t>
      </w:r>
    </w:p>
    <w:p>
      <w:pPr>
        <w:spacing w:before="0" w:after="120" w:line="372" w:lineRule="auto"/>
        <w:jc w:val="left"/>
      </w:pPr>
      <w:r>
        <w:rPr>
          <w:rFonts w:ascii="微软雅黑" w:hAnsi="微软雅黑" w:eastAsia="微软雅黑"/>
          <w:b w:val="0"/>
          <w:i w:val="0"/>
          <w:color w:val="3D5A56"/>
          <w:sz w:val="20"/>
        </w:rPr>
        <w:t>可以。合同分纯租赁、带人施工、一体化三类；带人施工额外维护机手、燃油承担、作业风险与施工工单，结算时可按包月、台班、立方、吨次、分工序、起重、清单、米/根、台时、一口价 10 种方式计价。</w:t>
      </w:r>
    </w:p>
    <w:p>
      <w:pPr>
        <w:spacing w:before="240" w:after="60"/>
      </w:pPr>
      <w:r>
        <w:rPr>
          <w:rFonts w:ascii="微软雅黑" w:hAnsi="微软雅黑" w:eastAsia="微软雅黑"/>
          <w:b/>
          <w:i w:val="0"/>
          <w:color w:val="102826"/>
          <w:sz w:val="25"/>
        </w:rPr>
        <w:t>3. 系统里到底有多少个模块？</w:t>
      </w:r>
    </w:p>
    <w:p>
      <w:pPr>
        <w:spacing w:before="0" w:after="120" w:line="372" w:lineRule="auto"/>
        <w:jc w:val="left"/>
      </w:pPr>
      <w:r>
        <w:rPr>
          <w:rFonts w:ascii="微软雅黑" w:hAnsi="微软雅黑" w:eastAsia="微软雅黑"/>
          <w:b w:val="0"/>
          <w:i w:val="0"/>
          <w:color w:val="3D5A56"/>
          <w:sz w:val="20"/>
        </w:rPr>
        <w:t>当前版本共 15 个菜单分组、116 个业务模块与 14 项系统配置，与演示系统左侧菜单一一对应；功能清单 Excel 里逐条列出模块、说明、关键字段与可见角色。</w:t>
      </w:r>
    </w:p>
    <w:p>
      <w:pPr>
        <w:spacing w:before="240" w:after="60"/>
      </w:pPr>
      <w:r>
        <w:rPr>
          <w:rFonts w:ascii="微软雅黑" w:hAnsi="微软雅黑" w:eastAsia="微软雅黑"/>
          <w:b/>
          <w:i w:val="0"/>
          <w:color w:val="102826"/>
          <w:sz w:val="25"/>
        </w:rPr>
        <w:t>4. 演示数据能改吗？会不会影响别人？</w:t>
      </w:r>
    </w:p>
    <w:p>
      <w:pPr>
        <w:spacing w:before="0" w:after="120" w:line="372" w:lineRule="auto"/>
        <w:jc w:val="left"/>
      </w:pPr>
      <w:r>
        <w:rPr>
          <w:rFonts w:ascii="微软雅黑" w:hAnsi="微软雅黑" w:eastAsia="微软雅黑"/>
          <w:b w:val="0"/>
          <w:i w:val="0"/>
          <w:color w:val="3D5A56"/>
          <w:sz w:val="20"/>
        </w:rPr>
        <w:t>演示站支持真实增删改，数据保存在 SQLite。多人共用时可能互相改到；需要干净环境可私有化部署或重置库文件。</w:t>
      </w:r>
    </w:p>
    <w:p>
      <w:pPr>
        <w:spacing w:before="240" w:after="60"/>
      </w:pPr>
      <w:r>
        <w:rPr>
          <w:rFonts w:ascii="微软雅黑" w:hAnsi="微软雅黑" w:eastAsia="微软雅黑"/>
          <w:b/>
          <w:i w:val="0"/>
          <w:color w:val="102826"/>
          <w:sz w:val="25"/>
        </w:rPr>
        <w:t>5. 角色有什么区别？</w:t>
      </w:r>
    </w:p>
    <w:p>
      <w:pPr>
        <w:spacing w:before="0" w:after="120" w:line="372" w:lineRule="auto"/>
        <w:jc w:val="left"/>
      </w:pPr>
      <w:r>
        <w:rPr>
          <w:rFonts w:ascii="微软雅黑" w:hAnsi="微软雅黑" w:eastAsia="微软雅黑"/>
          <w:b w:val="0"/>
          <w:i w:val="0"/>
          <w:color w:val="3D5A56"/>
          <w:sz w:val="20"/>
        </w:rPr>
        <w:t>内置 15 个角色：管理员看全部；老板看经营全貌、单机回报与项目毛利；总经理看运营大屏与项目毛利；项目经理看调度、台班、结算与成本；操作手只用手机填报台班与报修。登录后侧栏菜单与按钮权限会按角色裁剪。</w:t>
      </w:r>
    </w:p>
    <w:p>
      <w:pPr>
        <w:spacing w:before="240" w:after="60"/>
      </w:pPr>
      <w:r>
        <w:rPr>
          <w:rFonts w:ascii="微软雅黑" w:hAnsi="微软雅黑" w:eastAsia="微软雅黑"/>
          <w:b/>
          <w:i w:val="0"/>
          <w:color w:val="102826"/>
          <w:sz w:val="25"/>
        </w:rPr>
        <w:t>6. 能私有化吗？</w:t>
      </w:r>
    </w:p>
    <w:p>
      <w:pPr>
        <w:spacing w:before="0" w:after="120" w:line="372" w:lineRule="auto"/>
        <w:jc w:val="left"/>
      </w:pPr>
      <w:r>
        <w:rPr>
          <w:rFonts w:ascii="微软雅黑" w:hAnsi="微软雅黑" w:eastAsia="微软雅黑"/>
          <w:b w:val="0"/>
          <w:i w:val="0"/>
          <w:color w:val="3D5A56"/>
          <w:sz w:val="20"/>
        </w:rPr>
        <w:t>可以。PHP 8 + SQLite（可迁 MySQL），支持子目录部署与内网运行。商务评估后可一次性授权与定制。</w:t>
      </w:r>
    </w:p>
    <w:p>
      <w:pPr>
        <w:spacing w:before="240" w:after="60"/>
      </w:pPr>
      <w:r>
        <w:rPr>
          <w:rFonts w:ascii="微软雅黑" w:hAnsi="微软雅黑" w:eastAsia="微软雅黑"/>
          <w:b/>
          <w:i w:val="0"/>
          <w:color w:val="102826"/>
          <w:sz w:val="25"/>
        </w:rPr>
        <w:t>7. 现场工期被拖了怎么处理？</w:t>
      </w:r>
    </w:p>
    <w:p>
      <w:pPr>
        <w:spacing w:before="0" w:after="120" w:line="372" w:lineRule="auto"/>
        <w:jc w:val="left"/>
      </w:pPr>
      <w:r>
        <w:rPr>
          <w:rFonts w:ascii="微软雅黑" w:hAnsi="微软雅黑" w:eastAsia="微软雅黑"/>
          <w:b w:val="0"/>
          <w:i w:val="0"/>
          <w:color w:val="3D5A56"/>
          <w:sz w:val="20"/>
        </w:rPr>
        <w:t>客户签认的工期签证可直接转「工期顺延单」，审批通过后合同到期日与未验收交付单计划日按天顺延并留存原计划日；撤销顺延可逐级回滚，在途与已到场交付不追溯改动。</w:t>
      </w:r>
    </w:p>
    <w:p>
      <w:pPr>
        <w:spacing w:before="240" w:after="60"/>
      </w:pPr>
      <w:r>
        <w:rPr>
          <w:rFonts w:ascii="微软雅黑" w:hAnsi="微软雅黑" w:eastAsia="微软雅黑"/>
          <w:b/>
          <w:i w:val="0"/>
          <w:color w:val="102826"/>
          <w:sz w:val="25"/>
        </w:rPr>
        <w:t>8. 设备停机和窝工怎么算钱？</w:t>
      </w:r>
    </w:p>
    <w:p>
      <w:pPr>
        <w:spacing w:before="0" w:after="120" w:line="372" w:lineRule="auto"/>
        <w:jc w:val="left"/>
      </w:pPr>
      <w:r>
        <w:rPr>
          <w:rFonts w:ascii="微软雅黑" w:hAnsi="微软雅黑" w:eastAsia="微软雅黑"/>
          <w:b w:val="0"/>
          <w:i w:val="0"/>
          <w:color w:val="3D5A56"/>
          <w:sz w:val="20"/>
        </w:rPr>
        <w:t>现场停工先在手机或电脑报备开始日、预计天数、原因与责任归属；复工时按实际天数重算。甲方原因 / 不可抗力转工期顺延，乙方原因按合同日租金生成「停机减免」扣款单、审批后冲减当期结算应付，双方共担按对半拆分；撤销按「顺延 → 减免 → 停工单」逆序回滚，不会出现合同日期与结算金额错位。</w:t>
      </w:r>
    </w:p>
    <w:p>
      <w:pPr>
        <w:spacing w:before="240" w:after="60"/>
      </w:pPr>
      <w:r>
        <w:rPr>
          <w:rFonts w:ascii="微软雅黑" w:hAnsi="微软雅黑" w:eastAsia="微软雅黑"/>
          <w:b/>
          <w:i w:val="0"/>
          <w:color w:val="102826"/>
          <w:sz w:val="25"/>
        </w:rPr>
        <w:t>9. 有没有 GPS 对接、税控开票、审批流？</w:t>
      </w:r>
    </w:p>
    <w:p>
      <w:pPr>
        <w:spacing w:before="0" w:after="120" w:line="372" w:lineRule="auto"/>
        <w:jc w:val="left"/>
      </w:pPr>
      <w:r>
        <w:rPr>
          <w:rFonts w:ascii="微软雅黑" w:hAnsi="微软雅黑" w:eastAsia="微软雅黑"/>
          <w:b w:val="0"/>
          <w:i w:val="0"/>
          <w:color w:val="3D5A56"/>
          <w:sz w:val="20"/>
        </w:rPr>
        <w:t>当前已支持物联终端绑定、定位与工时日报、锁机风险提示、发票登记（13% / 9% / 3% 口径）、审批中心与审批规则；GPS 硬件深度对接、税控直连开票、电子签章合规举证属规划项，按项目评估。</w:t>
      </w:r>
    </w:p>
    <w:p>
      <w:r>
        <w:br w:type="page"/>
      </w:r>
    </w:p>
    <w:p>
      <w:pPr>
        <w:spacing w:before="360" w:after="80"/>
        <w:pBdr>
          <w:bottom w:val="single" w:sz="10" w:space="4" w:color="0E6E6A"/>
        </w:pBdr>
      </w:pPr>
      <w:r>
        <w:rPr>
          <w:rFonts w:ascii="微软雅黑" w:hAnsi="微软雅黑" w:eastAsia="微软雅黑"/>
          <w:b/>
          <w:i w:val="0"/>
          <w:color w:val="0E6E6A"/>
          <w:sz w:val="36"/>
        </w:rPr>
        <w:t>十三  联系我们</w:t>
      </w:r>
    </w:p>
    <w:p>
      <w:pPr>
        <w:spacing w:before="0" w:after="120" w:line="372" w:lineRule="auto"/>
        <w:jc w:val="left"/>
      </w:pPr>
      <w:r>
        <w:rPr>
          <w:rFonts w:ascii="微软雅黑" w:hAnsi="微软雅黑" w:eastAsia="微软雅黑"/>
          <w:b w:val="0"/>
          <w:i w:val="0"/>
          <w:color w:val="102826"/>
          <w:sz w:val="21"/>
        </w:rPr>
        <w:t>需要开通演示、方案讲解或私有化评估，欢迎随时联系。</w:t>
      </w:r>
    </w:p>
    <w:p>
      <w:pPr>
        <w:spacing w:before="0" w:after="40" w:line="372" w:lineRule="auto"/>
        <w:jc w:val="left"/>
      </w:pPr>
    </w:p>
    <w:tbl>
      <w:tblPr>
        <w:tblStyle w:val="TableGrid"/>
        <w:tblW w:type="auto" w:w="0"/>
        <w:tblLook w:firstColumn="1" w:firstRow="1" w:lastColumn="0" w:lastRow="0" w:noHBand="0" w:noVBand="1" w:val="04A0"/>
      </w:tblPr>
      <w:tblGrid>
        <w:gridCol w:w="9412"/>
      </w:tblGrid>
      <w:tr>
        <w:tc>
          <w:tcPr>
            <w:tcW w:type="dxa" w:w="9412"/>
            <w:shd w:val="clear" w:color="auto" w:fill="0E6E6A"/>
          </w:tcPr>
          <w:p>
            <w:pPr>
              <w:spacing w:before="280" w:after="280"/>
              <w:jc w:val="center"/>
            </w:pPr>
            <w:r/>
            <w:r>
              <w:rPr>
                <w:rFonts w:ascii="微软雅黑" w:hAnsi="微软雅黑" w:eastAsia="微软雅黑"/>
                <w:b/>
                <w:i w:val="0"/>
                <w:color w:val="FFFFFF"/>
                <w:sz w:val="30"/>
              </w:rPr>
              <w:t>商务电话 / 微信　18016313342（微信同号）</w:t>
            </w:r>
          </w:p>
        </w:tc>
      </w:tr>
    </w:tbl>
    <w:p>
      <w:pPr>
        <w:spacing w:before="0" w:after="160" w:line="372" w:lineRule="auto"/>
        <w:jc w:val="left"/>
      </w:pPr>
    </w:p>
    <w:tbl>
      <w:tblPr>
        <w:tblStyle w:val="TableGrid"/>
        <w:tblW w:type="auto" w:w="0"/>
        <w:jc w:val="center"/>
        <w:tblLayout w:type="autofit"/>
        <w:tblLook w:firstColumn="1" w:firstRow="1" w:lastColumn="0" w:lastRow="0" w:noHBand="0" w:noVBand="1" w:val="04A0"/>
      </w:tblPr>
      <w:tblGrid>
        <w:gridCol w:w="4706"/>
        <w:gridCol w:w="4706"/>
      </w:tblGrid>
      <w:tr>
        <w:tc>
          <w:tcPr>
            <w:tcW w:type="dxa" w:w="2268"/>
            <w:shd w:val="clear" w:color="auto" w:fill="0E6E6A"/>
          </w:tcPr>
          <w:p>
            <w:pPr>
              <w:spacing w:after="40" w:before="40"/>
              <w:jc w:val="center"/>
            </w:pPr>
            <w:r/>
            <w:r>
              <w:rPr>
                <w:rFonts w:ascii="微软雅黑" w:hAnsi="微软雅黑" w:eastAsia="微软雅黑"/>
                <w:b/>
                <w:i w:val="0"/>
                <w:color w:val="FFFFFF"/>
                <w:sz w:val="19"/>
              </w:rPr>
              <w:t>项目</w:t>
            </w:r>
          </w:p>
        </w:tc>
        <w:tc>
          <w:tcPr>
            <w:tcW w:type="dxa" w:w="7030"/>
            <w:shd w:val="clear" w:color="auto" w:fill="0E6E6A"/>
          </w:tcPr>
          <w:p>
            <w:pPr>
              <w:spacing w:after="40" w:before="40"/>
              <w:jc w:val="center"/>
            </w:pPr>
            <w:r/>
            <w:r>
              <w:rPr>
                <w:rFonts w:ascii="微软雅黑" w:hAnsi="微软雅黑" w:eastAsia="微软雅黑"/>
                <w:b/>
                <w:i w:val="0"/>
                <w:color w:val="FFFFFF"/>
                <w:sz w:val="19"/>
              </w:rPr>
              <w:t>内容</w:t>
            </w:r>
          </w:p>
        </w:tc>
      </w:tr>
      <w:tr>
        <w:tc>
          <w:tcPr>
            <w:tcW w:type="dxa" w:w="2268"/>
          </w:tcPr>
          <w:p>
            <w:pPr>
              <w:spacing w:after="40" w:before="40" w:line="300" w:lineRule="auto"/>
            </w:pPr>
            <w:r/>
            <w:r>
              <w:rPr>
                <w:rFonts w:ascii="微软雅黑" w:hAnsi="微软雅黑" w:eastAsia="微软雅黑"/>
                <w:b w:val="0"/>
                <w:i w:val="0"/>
                <w:color w:val="102826"/>
                <w:sz w:val="18"/>
              </w:rPr>
              <w:t>出品单位</w:t>
            </w:r>
          </w:p>
        </w:tc>
        <w:tc>
          <w:tcPr>
            <w:tcW w:type="dxa" w:w="7030"/>
          </w:tcPr>
          <w:p>
            <w:pPr>
              <w:spacing w:after="40" w:before="40" w:line="300" w:lineRule="auto"/>
            </w:pPr>
            <w:r/>
            <w:r>
              <w:rPr>
                <w:rFonts w:ascii="微软雅黑" w:hAnsi="微软雅黑" w:eastAsia="微软雅黑"/>
                <w:b w:val="0"/>
                <w:i w:val="0"/>
                <w:color w:val="102826"/>
                <w:sz w:val="18"/>
              </w:rPr>
              <w:t>上海思扬信息科技有限公司</w:t>
            </w:r>
          </w:p>
        </w:tc>
      </w:tr>
      <w:tr>
        <w:tc>
          <w:tcPr>
            <w:tcW w:type="dxa" w:w="2268"/>
            <w:shd w:val="clear" w:color="auto" w:fill="F2F9F8"/>
          </w:tcPr>
          <w:p>
            <w:pPr>
              <w:spacing w:after="40" w:before="40" w:line="300" w:lineRule="auto"/>
            </w:pPr>
            <w:r/>
            <w:r>
              <w:rPr>
                <w:rFonts w:ascii="微软雅黑" w:hAnsi="微软雅黑" w:eastAsia="微软雅黑"/>
                <w:b w:val="0"/>
                <w:i w:val="0"/>
                <w:color w:val="102826"/>
                <w:sz w:val="18"/>
              </w:rPr>
              <w:t>联合出品</w:t>
            </w:r>
          </w:p>
        </w:tc>
        <w:tc>
          <w:tcPr>
            <w:tcW w:type="dxa" w:w="7030"/>
            <w:shd w:val="clear" w:color="auto" w:fill="F2F9F8"/>
          </w:tcPr>
          <w:p>
            <w:pPr>
              <w:spacing w:after="40" w:before="40" w:line="300" w:lineRule="auto"/>
            </w:pPr>
            <w:r/>
            <w:r>
              <w:rPr>
                <w:rFonts w:ascii="微软雅黑" w:hAnsi="微软雅黑" w:eastAsia="微软雅黑"/>
                <w:b w:val="0"/>
                <w:i w:val="0"/>
                <w:color w:val="102826"/>
                <w:sz w:val="18"/>
              </w:rPr>
              <w:t>算数云科技（深圳）有限公司</w:t>
            </w:r>
          </w:p>
        </w:tc>
      </w:tr>
      <w:tr>
        <w:tc>
          <w:tcPr>
            <w:tcW w:type="dxa" w:w="2268"/>
          </w:tcPr>
          <w:p>
            <w:pPr>
              <w:spacing w:after="40" w:before="40" w:line="300" w:lineRule="auto"/>
            </w:pPr>
            <w:r/>
            <w:r>
              <w:rPr>
                <w:rFonts w:ascii="微软雅黑" w:hAnsi="微软雅黑" w:eastAsia="微软雅黑"/>
                <w:b w:val="0"/>
                <w:i w:val="0"/>
                <w:color w:val="102826"/>
                <w:sz w:val="18"/>
              </w:rPr>
              <w:t>商务电话</w:t>
            </w:r>
          </w:p>
        </w:tc>
        <w:tc>
          <w:tcPr>
            <w:tcW w:type="dxa" w:w="7030"/>
          </w:tcPr>
          <w:p>
            <w:pPr>
              <w:spacing w:after="40" w:before="40" w:line="300" w:lineRule="auto"/>
            </w:pPr>
            <w:r/>
            <w:r>
              <w:rPr>
                <w:rFonts w:ascii="微软雅黑" w:hAnsi="微软雅黑" w:eastAsia="微软雅黑"/>
                <w:b w:val="0"/>
                <w:i w:val="0"/>
                <w:color w:val="102826"/>
                <w:sz w:val="18"/>
              </w:rPr>
              <w:t>18016313342（微信同号）</w:t>
            </w:r>
          </w:p>
        </w:tc>
      </w:tr>
      <w:tr>
        <w:tc>
          <w:tcPr>
            <w:tcW w:type="dxa" w:w="2268"/>
            <w:shd w:val="clear" w:color="auto" w:fill="F2F9F8"/>
          </w:tcPr>
          <w:p>
            <w:pPr>
              <w:spacing w:after="40" w:before="40" w:line="300" w:lineRule="auto"/>
            </w:pPr>
            <w:r/>
            <w:r>
              <w:rPr>
                <w:rFonts w:ascii="微软雅黑" w:hAnsi="微软雅黑" w:eastAsia="微软雅黑"/>
                <w:b w:val="0"/>
                <w:i w:val="0"/>
                <w:color w:val="102826"/>
                <w:sz w:val="18"/>
              </w:rPr>
              <w:t>演示地址</w:t>
            </w:r>
          </w:p>
        </w:tc>
        <w:tc>
          <w:tcPr>
            <w:tcW w:type="dxa" w:w="7030"/>
            <w:shd w:val="clear" w:color="auto" w:fill="F2F9F8"/>
          </w:tcPr>
          <w:p>
            <w:pPr>
              <w:spacing w:after="40" w:before="40" w:line="300" w:lineRule="auto"/>
            </w:pPr>
            <w:r/>
            <w:r>
              <w:rPr>
                <w:rFonts w:ascii="微软雅黑" w:hAnsi="微软雅黑" w:eastAsia="微软雅黑"/>
                <w:b w:val="0"/>
                <w:i w:val="0"/>
                <w:color w:val="102826"/>
                <w:sz w:val="18"/>
              </w:rPr>
              <w:t>https://p.zerocod.cn/zulin-gongcheng/login.php</w:t>
            </w:r>
          </w:p>
        </w:tc>
      </w:tr>
      <w:tr>
        <w:tc>
          <w:tcPr>
            <w:tcW w:type="dxa" w:w="2268"/>
          </w:tcPr>
          <w:p>
            <w:pPr>
              <w:spacing w:after="40" w:before="40" w:line="300" w:lineRule="auto"/>
            </w:pPr>
            <w:r/>
            <w:r>
              <w:rPr>
                <w:rFonts w:ascii="微软雅黑" w:hAnsi="微软雅黑" w:eastAsia="微软雅黑"/>
                <w:b w:val="0"/>
                <w:i w:val="0"/>
                <w:color w:val="102826"/>
                <w:sz w:val="18"/>
              </w:rPr>
              <w:t>产品主页</w:t>
            </w:r>
          </w:p>
        </w:tc>
        <w:tc>
          <w:tcPr>
            <w:tcW w:type="dxa" w:w="7030"/>
          </w:tcPr>
          <w:p>
            <w:pPr>
              <w:spacing w:after="40" w:before="40" w:line="300" w:lineRule="auto"/>
            </w:pPr>
            <w:r/>
            <w:r>
              <w:rPr>
                <w:rFonts w:ascii="微软雅黑" w:hAnsi="微软雅黑" w:eastAsia="微软雅黑"/>
                <w:b w:val="0"/>
                <w:i w:val="0"/>
                <w:color w:val="102826"/>
                <w:sz w:val="18"/>
              </w:rPr>
              <w:t>https://p.zerocod.cn/zulin-gongcheng/intro/</w:t>
            </w:r>
          </w:p>
        </w:tc>
      </w:tr>
      <w:tr>
        <w:tc>
          <w:tcPr>
            <w:tcW w:type="dxa" w:w="2268"/>
            <w:shd w:val="clear" w:color="auto" w:fill="F2F9F8"/>
          </w:tcPr>
          <w:p>
            <w:pPr>
              <w:spacing w:after="40" w:before="40" w:line="300" w:lineRule="auto"/>
            </w:pPr>
            <w:r/>
            <w:r>
              <w:rPr>
                <w:rFonts w:ascii="微软雅黑" w:hAnsi="微软雅黑" w:eastAsia="微软雅黑"/>
                <w:b w:val="0"/>
                <w:i w:val="0"/>
                <w:color w:val="102826"/>
                <w:sz w:val="18"/>
              </w:rPr>
              <w:t>资料版本</w:t>
            </w:r>
          </w:p>
        </w:tc>
        <w:tc>
          <w:tcPr>
            <w:tcW w:type="dxa" w:w="7030"/>
            <w:shd w:val="clear" w:color="auto" w:fill="F2F9F8"/>
          </w:tcPr>
          <w:p>
            <w:pPr>
              <w:spacing w:after="40" w:before="40" w:line="300" w:lineRule="auto"/>
            </w:pPr>
            <w:r/>
            <w:r>
              <w:rPr>
                <w:rFonts w:ascii="微软雅黑" w:hAnsi="微软雅黑" w:eastAsia="微软雅黑"/>
                <w:b w:val="0"/>
                <w:i w:val="0"/>
                <w:color w:val="102826"/>
                <w:sz w:val="18"/>
              </w:rPr>
              <w:t>2026.10</w:t>
            </w:r>
          </w:p>
        </w:tc>
      </w:tr>
      <w:tr>
        <w:tc>
          <w:tcPr>
            <w:tcW w:type="dxa" w:w="2268"/>
          </w:tcPr>
          <w:p>
            <w:pPr>
              <w:spacing w:after="40" w:before="40" w:line="300" w:lineRule="auto"/>
            </w:pPr>
            <w:r/>
            <w:r>
              <w:rPr>
                <w:rFonts w:ascii="微软雅黑" w:hAnsi="微软雅黑" w:eastAsia="微软雅黑"/>
                <w:b w:val="0"/>
                <w:i w:val="0"/>
                <w:color w:val="102826"/>
                <w:sz w:val="18"/>
              </w:rPr>
              <w:t>配套资料</w:t>
            </w:r>
          </w:p>
        </w:tc>
        <w:tc>
          <w:tcPr>
            <w:tcW w:type="dxa" w:w="7030"/>
          </w:tcPr>
          <w:p>
            <w:pPr>
              <w:spacing w:after="40" w:before="40" w:line="300" w:lineRule="auto"/>
            </w:pPr>
            <w:r/>
            <w:r>
              <w:rPr>
                <w:rFonts w:ascii="微软雅黑" w:hAnsi="微软雅黑" w:eastAsia="微软雅黑"/>
                <w:b w:val="0"/>
                <w:i w:val="0"/>
                <w:color w:val="102826"/>
                <w:sz w:val="18"/>
              </w:rPr>
              <w:t>《功能清单全景表》Excel　《产品介绍》PPT</w:t>
            </w:r>
          </w:p>
        </w:tc>
      </w:tr>
    </w:tbl>
    <w:p>
      <w:pPr>
        <w:spacing w:before="0" w:after="240" w:line="372" w:lineRule="auto"/>
        <w:jc w:val="left"/>
      </w:pPr>
    </w:p>
    <w:tbl>
      <w:tblPr>
        <w:tblStyle w:val="TableGrid"/>
        <w:tblW w:type="auto" w:w="0"/>
        <w:tblLook w:firstColumn="1" w:firstRow="1" w:lastColumn="0" w:lastRow="0" w:noHBand="0" w:noVBand="1" w:val="04A0"/>
      </w:tblPr>
      <w:tblGrid>
        <w:gridCol w:w="9412"/>
      </w:tblGrid>
      <w:tr>
        <w:tc>
          <w:tcPr>
            <w:tcW w:type="dxa" w:w="9412"/>
            <w:shd w:val="clear" w:color="auto" w:fill="F5F8F7"/>
          </w:tcPr>
          <w:p>
            <w:pPr>
              <w:spacing w:before="120" w:after="120" w:line="360" w:lineRule="auto"/>
            </w:pPr>
            <w:r/>
            <w:r>
              <w:rPr>
                <w:rFonts w:ascii="微软雅黑" w:hAnsi="微软雅黑" w:eastAsia="微软雅黑"/>
                <w:b w:val="0"/>
                <w:i w:val="0"/>
                <w:color w:val="3D5A56"/>
                <w:sz w:val="21"/>
              </w:rPr>
              <w:t>本手册内容随产品迭代更新，最终以双方确认的实施范围与合同约定为准。</w:t>
            </w:r>
          </w:p>
        </w:tc>
      </w:tr>
    </w:tbl>
    <w:sectPr w:rsidR="00FC693F" w:rsidRPr="0006063C" w:rsidSect="00034616">
      <w:footerReference w:type="default" r:id="rId9"/>
      <w:pgSz w:w="11906" w:h="16838"/>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微软雅黑" w:hAnsi="微软雅黑" w:eastAsia="微软雅黑"/>
        <w:b w:val="0"/>
        <w:i w:val="0"/>
        <w:color w:val="6B7C78"/>
        <w:sz w:val="16"/>
      </w:rPr>
      <w:t xml:space="preserve">算数·工程机械租赁数字化管理系统  ·  上海思扬信息科技有限公司  ·  2026.10        </w:t>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72" w:lineRule="auto" w:after="120"/>
    </w:pPr>
    <w:rPr>
      <w:rFonts w:ascii="微软雅黑" w:hAnsi="微软雅黑" w:eastAsia="微软雅黑"/>
      <w:color w:val="1028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